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C089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46790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8085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C089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C089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C089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C089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9594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C089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FC089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FC089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FC089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9594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9594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C089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9594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C089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807398">
        <w:rPr>
          <w:rFonts w:eastAsiaTheme="minorEastAsia"/>
          <w:color w:val="000000"/>
          <w:sz w:val="26"/>
          <w:szCs w:val="26"/>
        </w:rPr>
        <w:t>17.03.2020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  </w:t>
      </w:r>
      <w:r w:rsidR="00807398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___</w:t>
      </w:r>
      <w:r w:rsidR="00807398">
        <w:rPr>
          <w:rFonts w:eastAsiaTheme="minorEastAsia"/>
          <w:color w:val="000000"/>
          <w:sz w:val="26"/>
          <w:szCs w:val="26"/>
        </w:rPr>
        <w:t>17/22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59594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C089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959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FC0891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от 28.12.2018 № 17/68</w:t>
      </w:r>
    </w:p>
    <w:p w:rsidR="00AC14C7" w:rsidRPr="00760BEF" w:rsidRDefault="005959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959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731B" w:rsidRDefault="00D7731B" w:rsidP="00D7731B">
      <w:pPr>
        <w:suppressAutoHyphens/>
        <w:autoSpaceDE w:val="0"/>
        <w:ind w:firstLine="567"/>
        <w:jc w:val="center"/>
        <w:rPr>
          <w:szCs w:val="26"/>
          <w:lang w:eastAsia="zh-CN"/>
        </w:rPr>
      </w:pPr>
    </w:p>
    <w:p w:rsidR="00D7731B" w:rsidRPr="00622129" w:rsidRDefault="00D7731B" w:rsidP="00D7731B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622129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622129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лица, Администрации города Глазова </w:t>
      </w:r>
      <w:r w:rsidRPr="002B2924">
        <w:rPr>
          <w:sz w:val="26"/>
          <w:szCs w:val="26"/>
        </w:rPr>
        <w:t xml:space="preserve">от </w:t>
      </w:r>
      <w:r>
        <w:rPr>
          <w:sz w:val="26"/>
          <w:szCs w:val="26"/>
        </w:rPr>
        <w:t>03.03.2020  №37</w:t>
      </w:r>
      <w:r w:rsidRPr="00622129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D7731B" w:rsidRPr="00622129" w:rsidRDefault="00D7731B" w:rsidP="00D7731B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622129">
        <w:rPr>
          <w:b/>
          <w:sz w:val="26"/>
          <w:szCs w:val="26"/>
          <w:lang w:eastAsia="zh-CN"/>
        </w:rPr>
        <w:t>П</w:t>
      </w:r>
      <w:proofErr w:type="gramEnd"/>
      <w:r w:rsidRPr="00622129">
        <w:rPr>
          <w:b/>
          <w:sz w:val="26"/>
          <w:szCs w:val="26"/>
          <w:lang w:eastAsia="zh-CN"/>
        </w:rPr>
        <w:t xml:space="preserve"> О С Т А Н О В Л Я Ю:</w:t>
      </w:r>
    </w:p>
    <w:p w:rsidR="00D7731B" w:rsidRDefault="00D7731B" w:rsidP="00D7731B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</w:t>
      </w:r>
      <w:r w:rsidR="004C6987">
        <w:rPr>
          <w:rFonts w:eastAsia="Times New Roman"/>
          <w:szCs w:val="26"/>
          <w:lang w:eastAsia="zh-CN"/>
        </w:rPr>
        <w:t>енение, дополнив его пунктом 438</w:t>
      </w:r>
      <w:r>
        <w:rPr>
          <w:rFonts w:eastAsia="Times New Roman"/>
          <w:szCs w:val="26"/>
          <w:lang w:eastAsia="zh-CN"/>
        </w:rPr>
        <w:t xml:space="preserve"> согласно Приложению № 1 к настоящему постановлению.</w:t>
      </w:r>
    </w:p>
    <w:p w:rsidR="00D7731B" w:rsidRDefault="00D7731B" w:rsidP="00D7731B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D7731B" w:rsidRDefault="00D7731B" w:rsidP="00D7731B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p w:rsidR="00D7731B" w:rsidRDefault="00D7731B" w:rsidP="00D7731B">
      <w:pPr>
        <w:suppressAutoHyphens/>
        <w:spacing w:line="360" w:lineRule="auto"/>
        <w:rPr>
          <w:sz w:val="26"/>
          <w:szCs w:val="26"/>
          <w:lang w:eastAsia="zh-CN"/>
        </w:rPr>
      </w:pPr>
    </w:p>
    <w:p w:rsidR="00AC14C7" w:rsidRPr="00760BEF" w:rsidRDefault="0059594B" w:rsidP="00D7731B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959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58085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C089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C089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5959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Default="00D7731B" w:rsidP="00D7731B">
      <w:pPr>
        <w:rPr>
          <w:szCs w:val="26"/>
          <w:lang w:eastAsia="zh-CN"/>
        </w:rPr>
      </w:pPr>
    </w:p>
    <w:p w:rsidR="00D7731B" w:rsidRPr="00D7731B" w:rsidRDefault="00D7731B" w:rsidP="00D7731B">
      <w:pPr>
        <w:rPr>
          <w:szCs w:val="26"/>
          <w:lang w:eastAsia="zh-CN"/>
        </w:rPr>
        <w:sectPr w:rsidR="00D7731B" w:rsidRPr="00D7731B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D7731B" w:rsidRPr="00D03CDA" w:rsidRDefault="00D7731B" w:rsidP="00D7731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D7731B" w:rsidRPr="00D03CDA" w:rsidRDefault="00D7731B" w:rsidP="00D7731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D7731B" w:rsidRPr="00D03CDA" w:rsidRDefault="00D7731B" w:rsidP="00D7731B">
      <w:pPr>
        <w:suppressAutoHyphens/>
        <w:jc w:val="right"/>
        <w:rPr>
          <w:szCs w:val="26"/>
          <w:lang w:eastAsia="zh-CN"/>
        </w:rPr>
      </w:pPr>
    </w:p>
    <w:p w:rsidR="00D7731B" w:rsidRPr="00D03CDA" w:rsidRDefault="00D7731B" w:rsidP="00D7731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D7731B" w:rsidRDefault="00D7731B" w:rsidP="00D7731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от </w:t>
      </w:r>
      <w:r w:rsidR="00807398">
        <w:rPr>
          <w:szCs w:val="26"/>
          <w:lang w:eastAsia="zh-CN"/>
        </w:rPr>
        <w:t>17.03.2020</w:t>
      </w:r>
      <w:r w:rsidRPr="00D03CDA">
        <w:rPr>
          <w:szCs w:val="26"/>
          <w:lang w:eastAsia="zh-CN"/>
        </w:rPr>
        <w:t xml:space="preserve"> №_</w:t>
      </w:r>
      <w:r w:rsidR="00807398">
        <w:rPr>
          <w:szCs w:val="26"/>
          <w:lang w:eastAsia="zh-CN"/>
        </w:rPr>
        <w:t>17/22</w:t>
      </w:r>
      <w:r w:rsidRPr="00D03CDA">
        <w:rPr>
          <w:szCs w:val="26"/>
          <w:lang w:eastAsia="zh-CN"/>
        </w:rPr>
        <w:t>__</w:t>
      </w:r>
    </w:p>
    <w:p w:rsidR="00D7731B" w:rsidRDefault="00D7731B" w:rsidP="00D7731B">
      <w:pPr>
        <w:suppressAutoHyphens/>
        <w:spacing w:line="360" w:lineRule="auto"/>
        <w:jc w:val="both"/>
        <w:rPr>
          <w:szCs w:val="26"/>
          <w:lang w:eastAsia="zh-CN"/>
        </w:rPr>
      </w:pPr>
    </w:p>
    <w:p w:rsidR="00D7731B" w:rsidRPr="00293FAD" w:rsidRDefault="00D7731B" w:rsidP="00D7731B">
      <w:pPr>
        <w:suppressAutoHyphens/>
        <w:spacing w:line="360" w:lineRule="auto"/>
        <w:jc w:val="both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D7731B" w:rsidTr="00D7731B">
        <w:tc>
          <w:tcPr>
            <w:tcW w:w="567" w:type="dxa"/>
            <w:vMerge w:val="restart"/>
            <w:vAlign w:val="center"/>
          </w:tcPr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</w:t>
            </w:r>
            <w:proofErr w:type="spell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3970" w:type="dxa"/>
            <w:gridSpan w:val="4"/>
            <w:vAlign w:val="center"/>
          </w:tcPr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D7731B" w:rsidTr="00D7731B">
        <w:tc>
          <w:tcPr>
            <w:tcW w:w="567" w:type="dxa"/>
            <w:vMerge/>
          </w:tcPr>
          <w:p w:rsidR="00D7731B" w:rsidRDefault="00D7731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D7731B" w:rsidRPr="00FF580A" w:rsidRDefault="00D7731B" w:rsidP="00396968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D7731B" w:rsidRPr="00FF580A" w:rsidRDefault="00D7731B" w:rsidP="00396968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D7731B" w:rsidTr="00D7731B">
        <w:tc>
          <w:tcPr>
            <w:tcW w:w="567" w:type="dxa"/>
            <w:vAlign w:val="center"/>
          </w:tcPr>
          <w:p w:rsidR="00D7731B" w:rsidRPr="000458EC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43</w:t>
            </w:r>
            <w:r w:rsidR="004C6987">
              <w:rPr>
                <w:rFonts w:eastAsia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418" w:type="dxa"/>
            <w:vAlign w:val="center"/>
          </w:tcPr>
          <w:p w:rsidR="00D7731B" w:rsidRPr="000458EC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Ф.Васильева</w:t>
            </w:r>
          </w:p>
        </w:tc>
        <w:tc>
          <w:tcPr>
            <w:tcW w:w="567" w:type="dxa"/>
            <w:vAlign w:val="center"/>
          </w:tcPr>
          <w:p w:rsidR="00D7731B" w:rsidRPr="000458EC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992" w:type="dxa"/>
            <w:vAlign w:val="center"/>
          </w:tcPr>
          <w:p w:rsidR="00D7731B" w:rsidRPr="000458EC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58.124622</w:t>
            </w:r>
          </w:p>
        </w:tc>
        <w:tc>
          <w:tcPr>
            <w:tcW w:w="993" w:type="dxa"/>
            <w:vAlign w:val="center"/>
          </w:tcPr>
          <w:p w:rsidR="00D7731B" w:rsidRPr="000458EC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52.674011</w:t>
            </w:r>
          </w:p>
        </w:tc>
        <w:tc>
          <w:tcPr>
            <w:tcW w:w="1134" w:type="dxa"/>
            <w:vAlign w:val="center"/>
          </w:tcPr>
          <w:p w:rsidR="00D7731B" w:rsidRPr="000458EC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D7731B" w:rsidRPr="000458EC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асфальтовое</w:t>
            </w:r>
          </w:p>
        </w:tc>
        <w:tc>
          <w:tcPr>
            <w:tcW w:w="992" w:type="dxa"/>
            <w:vAlign w:val="center"/>
          </w:tcPr>
          <w:p w:rsidR="00D7731B" w:rsidRPr="000458EC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5,12</w:t>
            </w:r>
          </w:p>
        </w:tc>
        <w:tc>
          <w:tcPr>
            <w:tcW w:w="1418" w:type="dxa"/>
            <w:vAlign w:val="center"/>
          </w:tcPr>
          <w:p w:rsidR="00D7731B" w:rsidRPr="000458EC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7" w:type="dxa"/>
            <w:vAlign w:val="center"/>
          </w:tcPr>
          <w:p w:rsidR="00D7731B" w:rsidRPr="000458EC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1,1</w:t>
            </w:r>
          </w:p>
        </w:tc>
        <w:tc>
          <w:tcPr>
            <w:tcW w:w="1984" w:type="dxa"/>
            <w:vAlign w:val="center"/>
          </w:tcPr>
          <w:p w:rsidR="00D7731B" w:rsidRPr="000458EC" w:rsidRDefault="00D7731B" w:rsidP="00396968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. Адрес: У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Р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Школьная, 21-Б.</w:t>
            </w:r>
          </w:p>
        </w:tc>
        <w:tc>
          <w:tcPr>
            <w:tcW w:w="1701" w:type="dxa"/>
            <w:vAlign w:val="center"/>
          </w:tcPr>
          <w:p w:rsidR="00D7731B" w:rsidRDefault="00D7731B" w:rsidP="00396968">
            <w:pPr>
              <w:pStyle w:val="af5"/>
              <w:suppressAutoHyphens/>
              <w:spacing w:line="360" w:lineRule="auto"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D7731B" w:rsidRDefault="00D7731B" w:rsidP="00396968">
            <w:pPr>
              <w:pStyle w:val="af5"/>
              <w:suppressAutoHyphens/>
              <w:spacing w:line="360" w:lineRule="auto"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ул. Ф.Васильева,24</w:t>
            </w:r>
          </w:p>
          <w:p w:rsidR="00D7731B" w:rsidRPr="000458EC" w:rsidRDefault="00D7731B" w:rsidP="00396968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D7731B" w:rsidRPr="000458EC" w:rsidRDefault="00D7731B" w:rsidP="00396968">
            <w:pPr>
              <w:pStyle w:val="af5"/>
              <w:suppressAutoHyphens/>
              <w:spacing w:line="360" w:lineRule="auto"/>
              <w:ind w:left="600" w:hanging="60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по заявке</w:t>
            </w:r>
          </w:p>
        </w:tc>
      </w:tr>
    </w:tbl>
    <w:p w:rsidR="00AC14C7" w:rsidRPr="00760BEF" w:rsidRDefault="00FC0891" w:rsidP="00807398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Pr="00AC14C7" w:rsidRDefault="005959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807398"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4B" w:rsidRDefault="0059594B" w:rsidP="00580852">
      <w:r>
        <w:separator/>
      </w:r>
    </w:p>
  </w:endnote>
  <w:endnote w:type="continuationSeparator" w:id="0">
    <w:p w:rsidR="0059594B" w:rsidRDefault="0059594B" w:rsidP="0058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4B" w:rsidRDefault="0059594B" w:rsidP="00580852">
      <w:r>
        <w:separator/>
      </w:r>
    </w:p>
  </w:footnote>
  <w:footnote w:type="continuationSeparator" w:id="0">
    <w:p w:rsidR="0059594B" w:rsidRDefault="0059594B" w:rsidP="00580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126D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C089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959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126D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C089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739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959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1B46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C3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EDF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C21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C45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C1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C45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C7B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3021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6A47B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663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96C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CF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A24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3A9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0D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6E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52C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8EC51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284FEB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D26013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560E89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A3AF8D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55C74A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FF4011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78A90C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BEE49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C6A2A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1702A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9843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586F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A1C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B03B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1285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64D3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BE9C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B22068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E3A0340" w:tentative="1">
      <w:start w:val="1"/>
      <w:numFmt w:val="lowerLetter"/>
      <w:lvlText w:val="%2."/>
      <w:lvlJc w:val="left"/>
      <w:pPr>
        <w:ind w:left="1440" w:hanging="360"/>
      </w:pPr>
    </w:lvl>
    <w:lvl w:ilvl="2" w:tplc="1D22F404" w:tentative="1">
      <w:start w:val="1"/>
      <w:numFmt w:val="lowerRoman"/>
      <w:lvlText w:val="%3."/>
      <w:lvlJc w:val="right"/>
      <w:pPr>
        <w:ind w:left="2160" w:hanging="180"/>
      </w:pPr>
    </w:lvl>
    <w:lvl w:ilvl="3" w:tplc="D826B894" w:tentative="1">
      <w:start w:val="1"/>
      <w:numFmt w:val="decimal"/>
      <w:lvlText w:val="%4."/>
      <w:lvlJc w:val="left"/>
      <w:pPr>
        <w:ind w:left="2880" w:hanging="360"/>
      </w:pPr>
    </w:lvl>
    <w:lvl w:ilvl="4" w:tplc="B9AEC9F4" w:tentative="1">
      <w:start w:val="1"/>
      <w:numFmt w:val="lowerLetter"/>
      <w:lvlText w:val="%5."/>
      <w:lvlJc w:val="left"/>
      <w:pPr>
        <w:ind w:left="3600" w:hanging="360"/>
      </w:pPr>
    </w:lvl>
    <w:lvl w:ilvl="5" w:tplc="2A4E63CE" w:tentative="1">
      <w:start w:val="1"/>
      <w:numFmt w:val="lowerRoman"/>
      <w:lvlText w:val="%6."/>
      <w:lvlJc w:val="right"/>
      <w:pPr>
        <w:ind w:left="4320" w:hanging="180"/>
      </w:pPr>
    </w:lvl>
    <w:lvl w:ilvl="6" w:tplc="71F89B8A" w:tentative="1">
      <w:start w:val="1"/>
      <w:numFmt w:val="decimal"/>
      <w:lvlText w:val="%7."/>
      <w:lvlJc w:val="left"/>
      <w:pPr>
        <w:ind w:left="5040" w:hanging="360"/>
      </w:pPr>
    </w:lvl>
    <w:lvl w:ilvl="7" w:tplc="989CFD0A" w:tentative="1">
      <w:start w:val="1"/>
      <w:numFmt w:val="lowerLetter"/>
      <w:lvlText w:val="%8."/>
      <w:lvlJc w:val="left"/>
      <w:pPr>
        <w:ind w:left="5760" w:hanging="360"/>
      </w:pPr>
    </w:lvl>
    <w:lvl w:ilvl="8" w:tplc="EFCE3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E32F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A9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80E0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902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0D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BC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255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64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AF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82CA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96F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8CB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CD0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25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A16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8D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253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A3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F6A8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27B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8681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A7A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4B7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6A00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8604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045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6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3CAA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F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8EF7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402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AB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2E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2A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86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49B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2F43B5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94A1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BA6FF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C7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4F6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2EA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304D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07F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4E0B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F98A1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AD6C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44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5AD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61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325C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C88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D855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D68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CBE0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252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FA9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CC8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6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423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05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2BC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6E5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1ACE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0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8E16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67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694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861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4D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AD6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D44C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BD8C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8EF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E28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00C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67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C8A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CE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B40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A0B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0D5CF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66D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22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E8F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88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805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E46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CC8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640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7230F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F83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443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84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226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486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EA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03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E64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0DE439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FBC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023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20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F27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8E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A3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ACB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B664884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26E3D2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D70B9F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07CDE5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94CD4E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C0C8F6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F1A9A1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D6230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D8088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6150B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1C7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D05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68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9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F6B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85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89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7C2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2D1CDB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E9A444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AC4F22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F1EBA8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B00EF8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C301DA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4C81E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87EDF3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F455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D90419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EA4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644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44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68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F0D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E9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07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964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1346A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30D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1C5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23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067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763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C2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260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C4E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07EA01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7AA1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6C12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475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60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89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27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2C7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6E73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870E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412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C0D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81D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C9C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7898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CA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0F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780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FCA0C6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8861EF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B9A41C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B3287B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E1E8E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AA2C11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49214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598D3E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2C190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D5884B9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EE0B44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306388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1A8A1B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9FA8E9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9D66E9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1CEA7D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486BF7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4C21B4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EFAE6AA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6ACE5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2605E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36D5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CC27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547F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6477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8E48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6219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FFF876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2E8B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65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E2B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C3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B28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805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5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27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B0F8C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C4E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6C2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8B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4E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F0D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0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2AC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A21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316088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98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102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6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4C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847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C8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B1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62E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F6FEF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068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785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6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8F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623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2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249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0C9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5CC0C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384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7E4D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E4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CE7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67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D46F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2CD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6E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852"/>
    <w:rsid w:val="0036710C"/>
    <w:rsid w:val="004C6987"/>
    <w:rsid w:val="00580852"/>
    <w:rsid w:val="0059594B"/>
    <w:rsid w:val="00807398"/>
    <w:rsid w:val="00A04F91"/>
    <w:rsid w:val="00CA6835"/>
    <w:rsid w:val="00D7731B"/>
    <w:rsid w:val="00DE2988"/>
    <w:rsid w:val="00F126D5"/>
    <w:rsid w:val="00F807A5"/>
    <w:rsid w:val="00FC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D7731B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label">
    <w:name w:val="label"/>
    <w:basedOn w:val="a0"/>
    <w:rsid w:val="00DE2988"/>
  </w:style>
  <w:style w:type="character" w:customStyle="1" w:styleId="value1">
    <w:name w:val="value1"/>
    <w:basedOn w:val="a0"/>
    <w:rsid w:val="00DE2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2020-03-04T09:29:00Z</cp:lastPrinted>
  <dcterms:created xsi:type="dcterms:W3CDTF">2016-12-16T12:43:00Z</dcterms:created>
  <dcterms:modified xsi:type="dcterms:W3CDTF">2020-03-17T10:52:00Z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