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6E34" w:rsidRPr="004B6E34" w:rsidRDefault="004B6E34" w:rsidP="004B6E3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4B6E34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СХЕМА</w:t>
      </w:r>
    </w:p>
    <w:p w:rsidR="004B6E34" w:rsidRPr="004B6E34" w:rsidRDefault="004B6E34" w:rsidP="004B6E3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4B6E34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ТЕПЛОСНАБЖЕНИЯ</w:t>
      </w:r>
    </w:p>
    <w:p w:rsidR="004B6E34" w:rsidRPr="004B6E34" w:rsidRDefault="004B6E34" w:rsidP="004B6E3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4B6E34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МУНИЦПАЛЬНОГО ОБРАЗОВАНИЯ</w:t>
      </w:r>
      <w:r w:rsidRPr="004B6E34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br/>
        <w:t>«ГОРОД ГЛАЗОВ»</w:t>
      </w:r>
    </w:p>
    <w:p w:rsidR="004B6E34" w:rsidRPr="004B6E34" w:rsidRDefault="004B6E34" w:rsidP="004B6E3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4B6E34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УДМУРТСКОЙ РЕСПУБЛИКИ</w:t>
      </w:r>
    </w:p>
    <w:p w:rsidR="004B6E34" w:rsidRPr="004B6E34" w:rsidRDefault="004B6E34" w:rsidP="004B6E3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4B6E34" w:rsidRPr="004B6E34" w:rsidRDefault="004B6E34" w:rsidP="004B6E3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4B6E34" w:rsidRPr="004B6E34" w:rsidRDefault="004B6E34" w:rsidP="004B6E3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4B6E34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Обосновывающие материалы к схеме теплоснабжения</w:t>
      </w:r>
    </w:p>
    <w:p w:rsidR="004B6E34" w:rsidRDefault="004B6E34" w:rsidP="004B6E34">
      <w:pPr>
        <w:spacing w:after="0" w:line="360" w:lineRule="auto"/>
        <w:ind w:firstLine="567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B603FF" w:rsidRPr="004B6E34" w:rsidRDefault="00B603FF" w:rsidP="004B6E34">
      <w:pPr>
        <w:spacing w:after="0" w:line="360" w:lineRule="auto"/>
        <w:ind w:firstLine="567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4B6E34">
        <w:rPr>
          <w:rFonts w:ascii="Times New Roman" w:hAnsi="Times New Roman" w:cs="Times New Roman"/>
          <w:color w:val="000000"/>
          <w:sz w:val="28"/>
          <w:szCs w:val="28"/>
        </w:rPr>
        <w:t>Глава 9. Оценка надежности теплоснабжения.</w:t>
      </w:r>
    </w:p>
    <w:p w:rsidR="00B603FF" w:rsidRPr="00B603FF" w:rsidRDefault="00B603FF" w:rsidP="00B603FF">
      <w:pPr>
        <w:rPr>
          <w:rFonts w:ascii="Arial" w:hAnsi="Arial" w:cs="Arial"/>
          <w:b/>
          <w:sz w:val="28"/>
          <w:szCs w:val="24"/>
        </w:rPr>
      </w:pPr>
      <w:r w:rsidRPr="00B603FF">
        <w:rPr>
          <w:rFonts w:ascii="Arial" w:hAnsi="Arial" w:cs="Arial"/>
          <w:b/>
          <w:sz w:val="28"/>
          <w:szCs w:val="24"/>
        </w:rPr>
        <w:br w:type="page"/>
      </w:r>
    </w:p>
    <w:p w:rsidR="004B6E34" w:rsidRPr="00961808" w:rsidRDefault="004B6E34" w:rsidP="004B6E34">
      <w:pPr>
        <w:spacing w:after="200" w:line="276" w:lineRule="auto"/>
        <w:jc w:val="center"/>
        <w:outlineLvl w:val="0"/>
        <w:rPr>
          <w:rFonts w:ascii="Arial" w:eastAsia="Calibri" w:hAnsi="Arial" w:cs="Arial"/>
          <w:b/>
          <w:sz w:val="28"/>
          <w:szCs w:val="28"/>
        </w:rPr>
      </w:pPr>
      <w:bookmarkStart w:id="0" w:name="_Toc434511416"/>
      <w:bookmarkStart w:id="1" w:name="_Toc434511417"/>
      <w:r w:rsidRPr="00961808">
        <w:rPr>
          <w:rFonts w:ascii="Arial" w:eastAsia="Calibri" w:hAnsi="Arial" w:cs="Arial"/>
          <w:b/>
          <w:bCs/>
          <w:sz w:val="28"/>
          <w:szCs w:val="28"/>
        </w:rPr>
        <w:lastRenderedPageBreak/>
        <w:t>СОДЕРЖАНИЕ</w:t>
      </w:r>
      <w:bookmarkEnd w:id="1"/>
    </w:p>
    <w:p w:rsidR="004B6E34" w:rsidRPr="00B603FF" w:rsidRDefault="004B6E34" w:rsidP="004B6E34">
      <w:pPr>
        <w:pStyle w:val="10"/>
        <w:tabs>
          <w:tab w:val="right" w:leader="dot" w:pos="9345"/>
        </w:tabs>
        <w:rPr>
          <w:rFonts w:ascii="Arial" w:eastAsiaTheme="minorEastAsia" w:hAnsi="Arial" w:cs="Arial"/>
          <w:noProof/>
          <w:sz w:val="28"/>
          <w:szCs w:val="28"/>
          <w:lang w:eastAsia="ru-RU"/>
        </w:rPr>
      </w:pPr>
      <w:r w:rsidRPr="00B603FF">
        <w:rPr>
          <w:rFonts w:ascii="Arial" w:eastAsia="Times New Roman" w:hAnsi="Arial" w:cs="Arial"/>
          <w:caps/>
          <w:color w:val="000000"/>
          <w:sz w:val="28"/>
          <w:szCs w:val="28"/>
          <w:lang w:eastAsia="ru-RU"/>
        </w:rPr>
        <w:fldChar w:fldCharType="begin"/>
      </w:r>
      <w:r w:rsidRPr="00961808">
        <w:rPr>
          <w:rFonts w:ascii="Arial" w:eastAsia="Times New Roman" w:hAnsi="Arial" w:cs="Arial"/>
          <w:caps/>
          <w:color w:val="000000"/>
          <w:sz w:val="28"/>
          <w:szCs w:val="28"/>
          <w:lang w:eastAsia="ru-RU"/>
        </w:rPr>
        <w:instrText xml:space="preserve"> TOC \o "1-3" \h \z \u </w:instrText>
      </w:r>
      <w:r w:rsidRPr="00B603FF">
        <w:rPr>
          <w:rFonts w:ascii="Arial" w:eastAsia="Times New Roman" w:hAnsi="Arial" w:cs="Arial"/>
          <w:caps/>
          <w:color w:val="000000"/>
          <w:sz w:val="28"/>
          <w:szCs w:val="28"/>
          <w:lang w:eastAsia="ru-RU"/>
        </w:rPr>
        <w:fldChar w:fldCharType="separate"/>
      </w:r>
      <w:hyperlink w:anchor="_Toc434511415" w:history="1">
        <w:r w:rsidRPr="00B603FF">
          <w:rPr>
            <w:rStyle w:val="a9"/>
            <w:rFonts w:ascii="Arial" w:eastAsiaTheme="majorEastAsia" w:hAnsi="Arial" w:cs="Arial"/>
            <w:b/>
            <w:noProof/>
            <w:sz w:val="28"/>
            <w:szCs w:val="28"/>
          </w:rPr>
          <w:t>ВВЕДЕНИЕ</w: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tab/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begin"/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instrText xml:space="preserve"> PAGEREF _Toc434511415 \h </w:instrTex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separate"/>
        </w:r>
        <w:r>
          <w:rPr>
            <w:rFonts w:ascii="Arial" w:hAnsi="Arial" w:cs="Arial"/>
            <w:noProof/>
            <w:webHidden/>
            <w:sz w:val="28"/>
            <w:szCs w:val="28"/>
          </w:rPr>
          <w:t>3</w: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end"/>
        </w:r>
      </w:hyperlink>
    </w:p>
    <w:p w:rsidR="004B6E34" w:rsidRPr="00B603FF" w:rsidRDefault="004B6E34" w:rsidP="004B6E34">
      <w:pPr>
        <w:pStyle w:val="10"/>
        <w:tabs>
          <w:tab w:val="right" w:leader="dot" w:pos="9345"/>
        </w:tabs>
        <w:rPr>
          <w:rFonts w:ascii="Arial" w:eastAsiaTheme="minorEastAsia" w:hAnsi="Arial" w:cs="Arial"/>
          <w:noProof/>
          <w:sz w:val="28"/>
          <w:szCs w:val="28"/>
          <w:lang w:eastAsia="ru-RU"/>
        </w:rPr>
      </w:pPr>
      <w:hyperlink w:anchor="_Toc434511416" w:history="1">
        <w:r w:rsidRPr="00B603FF">
          <w:rPr>
            <w:rStyle w:val="a9"/>
            <w:rFonts w:ascii="Arial" w:eastAsia="Calibri" w:hAnsi="Arial" w:cs="Arial"/>
            <w:b/>
            <w:noProof/>
            <w:sz w:val="28"/>
            <w:szCs w:val="28"/>
          </w:rPr>
          <w:t>РЕФЕРАТ</w: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tab/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begin"/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instrText xml:space="preserve"> PAGEREF _Toc434511416 \h </w:instrTex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separate"/>
        </w:r>
        <w:r>
          <w:rPr>
            <w:rFonts w:ascii="Arial" w:hAnsi="Arial" w:cs="Arial"/>
            <w:noProof/>
            <w:webHidden/>
            <w:sz w:val="28"/>
            <w:szCs w:val="28"/>
          </w:rPr>
          <w:t>4</w: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end"/>
        </w:r>
      </w:hyperlink>
    </w:p>
    <w:p w:rsidR="004B6E34" w:rsidRPr="00B603FF" w:rsidRDefault="004B6E34" w:rsidP="004B6E34">
      <w:pPr>
        <w:pStyle w:val="10"/>
        <w:tabs>
          <w:tab w:val="right" w:leader="dot" w:pos="9345"/>
        </w:tabs>
        <w:rPr>
          <w:rFonts w:ascii="Arial" w:eastAsiaTheme="minorEastAsia" w:hAnsi="Arial" w:cs="Arial"/>
          <w:noProof/>
          <w:sz w:val="28"/>
          <w:szCs w:val="28"/>
          <w:lang w:eastAsia="ru-RU"/>
        </w:rPr>
      </w:pPr>
      <w:hyperlink w:anchor="_Toc434511417" w:history="1">
        <w:r w:rsidRPr="00B603FF">
          <w:rPr>
            <w:rStyle w:val="a9"/>
            <w:rFonts w:ascii="Arial" w:eastAsia="Calibri" w:hAnsi="Arial" w:cs="Arial"/>
            <w:b/>
            <w:bCs/>
            <w:noProof/>
            <w:sz w:val="28"/>
            <w:szCs w:val="28"/>
          </w:rPr>
          <w:t>СОДЕРЖАНИЕ</w: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tab/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begin"/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instrText xml:space="preserve"> PAGEREF _Toc434511417 \h </w:instrTex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separate"/>
        </w:r>
        <w:r>
          <w:rPr>
            <w:rFonts w:ascii="Arial" w:hAnsi="Arial" w:cs="Arial"/>
            <w:noProof/>
            <w:webHidden/>
            <w:sz w:val="28"/>
            <w:szCs w:val="28"/>
          </w:rPr>
          <w:t>6</w: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end"/>
        </w:r>
      </w:hyperlink>
    </w:p>
    <w:p w:rsidR="004B6E34" w:rsidRPr="00B603FF" w:rsidRDefault="004B6E34" w:rsidP="004B6E34">
      <w:pPr>
        <w:pStyle w:val="23"/>
        <w:tabs>
          <w:tab w:val="right" w:leader="dot" w:pos="9345"/>
        </w:tabs>
        <w:rPr>
          <w:rFonts w:ascii="Arial" w:eastAsiaTheme="minorEastAsia" w:hAnsi="Arial" w:cs="Arial"/>
          <w:noProof/>
          <w:sz w:val="28"/>
          <w:szCs w:val="28"/>
          <w:lang w:eastAsia="ru-RU"/>
        </w:rPr>
      </w:pPr>
      <w:hyperlink w:anchor="_Toc434511418" w:history="1">
        <w:r w:rsidRPr="00B603FF">
          <w:rPr>
            <w:rStyle w:val="a9"/>
            <w:rFonts w:ascii="Arial" w:eastAsia="Times New Roman" w:hAnsi="Arial" w:cs="Arial"/>
            <w:noProof/>
            <w:sz w:val="28"/>
            <w:szCs w:val="28"/>
            <w:lang w:eastAsia="ar-SA"/>
          </w:rPr>
          <w:t>9 Надежность теплоснабжения в муниципально образовании «Город Глазов» Удмуртской Республики</w: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tab/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begin"/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instrText xml:space="preserve"> PAGEREF _Toc434511418 \h </w:instrTex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separate"/>
        </w:r>
        <w:r>
          <w:rPr>
            <w:rFonts w:ascii="Arial" w:hAnsi="Arial" w:cs="Arial"/>
            <w:noProof/>
            <w:webHidden/>
            <w:sz w:val="28"/>
            <w:szCs w:val="28"/>
          </w:rPr>
          <w:t>7</w: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end"/>
        </w:r>
      </w:hyperlink>
    </w:p>
    <w:p w:rsidR="004B6E34" w:rsidRPr="00B603FF" w:rsidRDefault="004B6E34" w:rsidP="004B6E34">
      <w:pPr>
        <w:pStyle w:val="23"/>
        <w:tabs>
          <w:tab w:val="right" w:leader="dot" w:pos="9345"/>
        </w:tabs>
        <w:rPr>
          <w:rFonts w:ascii="Arial" w:eastAsiaTheme="minorEastAsia" w:hAnsi="Arial" w:cs="Arial"/>
          <w:noProof/>
          <w:sz w:val="28"/>
          <w:szCs w:val="28"/>
          <w:lang w:eastAsia="ru-RU"/>
        </w:rPr>
      </w:pPr>
      <w:hyperlink w:anchor="_Toc434511419" w:history="1">
        <w:r w:rsidRPr="00B603FF">
          <w:rPr>
            <w:rStyle w:val="a9"/>
            <w:rFonts w:ascii="Arial" w:hAnsi="Arial" w:cs="Arial"/>
            <w:noProof/>
            <w:sz w:val="28"/>
            <w:szCs w:val="28"/>
          </w:rPr>
          <w:t>9.1 Описание показателей, определяемых в соответствии с методическими указаниями по расчету уровня надежности и качества поставляемых товаров, оказываемых услуг для организаций, осуществляющих деятельность по производству и (или) передаче тепловой энергии</w: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tab/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begin"/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instrText xml:space="preserve"> PAGEREF _Toc434511419 \h </w:instrTex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separate"/>
        </w:r>
        <w:r>
          <w:rPr>
            <w:rFonts w:ascii="Arial" w:hAnsi="Arial" w:cs="Arial"/>
            <w:noProof/>
            <w:webHidden/>
            <w:sz w:val="28"/>
            <w:szCs w:val="28"/>
          </w:rPr>
          <w:t>7</w: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end"/>
        </w:r>
      </w:hyperlink>
    </w:p>
    <w:p w:rsidR="004B6E34" w:rsidRPr="00B603FF" w:rsidRDefault="004B6E34" w:rsidP="004B6E34">
      <w:pPr>
        <w:pStyle w:val="23"/>
        <w:tabs>
          <w:tab w:val="right" w:leader="dot" w:pos="9345"/>
        </w:tabs>
        <w:rPr>
          <w:rFonts w:ascii="Arial" w:eastAsiaTheme="minorEastAsia" w:hAnsi="Arial" w:cs="Arial"/>
          <w:noProof/>
          <w:sz w:val="28"/>
          <w:szCs w:val="28"/>
          <w:lang w:eastAsia="ru-RU"/>
        </w:rPr>
      </w:pPr>
      <w:hyperlink w:anchor="_Toc434511420" w:history="1">
        <w:r w:rsidRPr="00B603FF">
          <w:rPr>
            <w:rStyle w:val="a9"/>
            <w:rFonts w:ascii="Arial" w:hAnsi="Arial" w:cs="Arial"/>
            <w:noProof/>
            <w:sz w:val="28"/>
            <w:szCs w:val="28"/>
          </w:rPr>
          <w:t>9.2 Анализ аварийных отключений потребителей</w: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tab/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begin"/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instrText xml:space="preserve"> PAGEREF _Toc434511420 \h </w:instrTex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separate"/>
        </w:r>
        <w:r>
          <w:rPr>
            <w:rFonts w:ascii="Arial" w:hAnsi="Arial" w:cs="Arial"/>
            <w:noProof/>
            <w:webHidden/>
            <w:sz w:val="28"/>
            <w:szCs w:val="28"/>
          </w:rPr>
          <w:t>12</w: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end"/>
        </w:r>
      </w:hyperlink>
    </w:p>
    <w:p w:rsidR="004B6E34" w:rsidRPr="00B603FF" w:rsidRDefault="004B6E34" w:rsidP="004B6E34">
      <w:pPr>
        <w:pStyle w:val="23"/>
        <w:tabs>
          <w:tab w:val="right" w:leader="dot" w:pos="9345"/>
        </w:tabs>
        <w:rPr>
          <w:rFonts w:ascii="Arial" w:eastAsiaTheme="minorEastAsia" w:hAnsi="Arial" w:cs="Arial"/>
          <w:noProof/>
          <w:sz w:val="28"/>
          <w:szCs w:val="28"/>
          <w:lang w:eastAsia="ru-RU"/>
        </w:rPr>
      </w:pPr>
      <w:hyperlink w:anchor="_Toc434511421" w:history="1">
        <w:r w:rsidRPr="00B603FF">
          <w:rPr>
            <w:rStyle w:val="a9"/>
            <w:rFonts w:ascii="Arial" w:hAnsi="Arial" w:cs="Arial"/>
            <w:noProof/>
            <w:sz w:val="28"/>
            <w:szCs w:val="28"/>
          </w:rPr>
          <w:t>9.3. Решения о перераспределении тепловой нагрузки между источниками тепловой энергии</w: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tab/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begin"/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instrText xml:space="preserve"> PAGEREF _Toc434511421 \h </w:instrTex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separate"/>
        </w:r>
        <w:r>
          <w:rPr>
            <w:rFonts w:ascii="Arial" w:hAnsi="Arial" w:cs="Arial"/>
            <w:noProof/>
            <w:webHidden/>
            <w:sz w:val="28"/>
            <w:szCs w:val="28"/>
          </w:rPr>
          <w:t>13</w: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end"/>
        </w:r>
      </w:hyperlink>
    </w:p>
    <w:p w:rsidR="004B6E34" w:rsidRPr="00B603FF" w:rsidRDefault="004B6E34" w:rsidP="004B6E34">
      <w:pPr>
        <w:pStyle w:val="23"/>
        <w:tabs>
          <w:tab w:val="right" w:leader="dot" w:pos="9345"/>
        </w:tabs>
        <w:rPr>
          <w:rFonts w:ascii="Arial" w:eastAsiaTheme="minorEastAsia" w:hAnsi="Arial" w:cs="Arial"/>
          <w:noProof/>
          <w:sz w:val="28"/>
          <w:szCs w:val="28"/>
          <w:lang w:eastAsia="ru-RU"/>
        </w:rPr>
      </w:pPr>
      <w:hyperlink w:anchor="_Toc434511422" w:history="1">
        <w:r w:rsidRPr="00B603FF">
          <w:rPr>
            <w:rStyle w:val="a9"/>
            <w:rFonts w:ascii="Arial" w:hAnsi="Arial" w:cs="Arial"/>
            <w:noProof/>
            <w:sz w:val="28"/>
            <w:szCs w:val="28"/>
          </w:rPr>
          <w:t>9.4 Предложения по строительству и реконструкции тепловых сетей для повышения эффективности и надежности теплоснабжения</w: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tab/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begin"/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instrText xml:space="preserve"> PAGEREF _Toc434511422 \h </w:instrTex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separate"/>
        </w:r>
        <w:r>
          <w:rPr>
            <w:rFonts w:ascii="Arial" w:hAnsi="Arial" w:cs="Arial"/>
            <w:noProof/>
            <w:webHidden/>
            <w:sz w:val="28"/>
            <w:szCs w:val="28"/>
          </w:rPr>
          <w:t>15</w: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end"/>
        </w:r>
      </w:hyperlink>
    </w:p>
    <w:p w:rsidR="004B6E34" w:rsidRPr="00B603FF" w:rsidRDefault="004B6E34" w:rsidP="004B6E34">
      <w:pPr>
        <w:pStyle w:val="23"/>
        <w:tabs>
          <w:tab w:val="right" w:leader="dot" w:pos="9345"/>
        </w:tabs>
        <w:rPr>
          <w:rFonts w:ascii="Arial" w:eastAsiaTheme="minorEastAsia" w:hAnsi="Arial" w:cs="Arial"/>
          <w:noProof/>
          <w:sz w:val="28"/>
          <w:szCs w:val="28"/>
          <w:lang w:eastAsia="ru-RU"/>
        </w:rPr>
      </w:pPr>
      <w:hyperlink w:anchor="_Toc434511423" w:history="1">
        <w:r w:rsidRPr="00B603FF">
          <w:rPr>
            <w:rStyle w:val="a9"/>
            <w:rFonts w:ascii="Arial" w:hAnsi="Arial" w:cs="Arial"/>
            <w:noProof/>
            <w:sz w:val="28"/>
            <w:szCs w:val="28"/>
          </w:rPr>
          <w:t>9.5 Предложения по строительству тепловых сетей для обеспечения нормативной надежности теплоснабжения</w: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tab/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begin"/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instrText xml:space="preserve"> PAGEREF _Toc434511423 \h </w:instrTex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separate"/>
        </w:r>
        <w:r>
          <w:rPr>
            <w:rFonts w:ascii="Arial" w:hAnsi="Arial" w:cs="Arial"/>
            <w:noProof/>
            <w:webHidden/>
            <w:sz w:val="28"/>
            <w:szCs w:val="28"/>
          </w:rPr>
          <w:t>15</w: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end"/>
        </w:r>
      </w:hyperlink>
    </w:p>
    <w:p w:rsidR="004B6E34" w:rsidRPr="00B603FF" w:rsidRDefault="004B6E34" w:rsidP="004B6E34">
      <w:pPr>
        <w:pStyle w:val="10"/>
        <w:tabs>
          <w:tab w:val="right" w:leader="dot" w:pos="9345"/>
        </w:tabs>
        <w:rPr>
          <w:rFonts w:ascii="Arial" w:eastAsiaTheme="minorEastAsia" w:hAnsi="Arial" w:cs="Arial"/>
          <w:noProof/>
          <w:sz w:val="28"/>
          <w:szCs w:val="28"/>
          <w:lang w:eastAsia="ru-RU"/>
        </w:rPr>
      </w:pPr>
      <w:hyperlink w:anchor="_Toc434511424" w:history="1">
        <w:r w:rsidRPr="00B603FF">
          <w:rPr>
            <w:rStyle w:val="a9"/>
            <w:rFonts w:ascii="Arial" w:eastAsia="Times New Roman" w:hAnsi="Arial" w:cs="Arial"/>
            <w:b/>
            <w:bCs/>
            <w:noProof/>
            <w:kern w:val="2"/>
            <w:sz w:val="28"/>
            <w:szCs w:val="28"/>
            <w:lang w:eastAsia="ar-SA"/>
          </w:rPr>
          <w:t>СПИСОК ИСПОЛЬЗОВАННЫХ ИСТОЧНИКОВ</w: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tab/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begin"/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instrText xml:space="preserve"> PAGEREF _Toc434511424 \h </w:instrTex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separate"/>
        </w:r>
        <w:r>
          <w:rPr>
            <w:rFonts w:ascii="Arial" w:hAnsi="Arial" w:cs="Arial"/>
            <w:noProof/>
            <w:webHidden/>
            <w:sz w:val="28"/>
            <w:szCs w:val="28"/>
          </w:rPr>
          <w:t>16</w:t>
        </w:r>
        <w:r w:rsidRPr="00B603FF">
          <w:rPr>
            <w:rFonts w:ascii="Arial" w:hAnsi="Arial" w:cs="Arial"/>
            <w:noProof/>
            <w:webHidden/>
            <w:sz w:val="28"/>
            <w:szCs w:val="28"/>
          </w:rPr>
          <w:fldChar w:fldCharType="end"/>
        </w:r>
      </w:hyperlink>
    </w:p>
    <w:p w:rsidR="004B6E34" w:rsidRDefault="004B6E34" w:rsidP="004B6E34">
      <w:pPr>
        <w:spacing w:after="0" w:line="360" w:lineRule="auto"/>
        <w:jc w:val="center"/>
        <w:outlineLvl w:val="0"/>
        <w:rPr>
          <w:rFonts w:ascii="Arial" w:eastAsia="Calibri" w:hAnsi="Arial" w:cs="Arial"/>
          <w:sz w:val="28"/>
          <w:szCs w:val="28"/>
        </w:rPr>
      </w:pPr>
      <w:r w:rsidRPr="00B603FF">
        <w:rPr>
          <w:rFonts w:ascii="Arial" w:eastAsia="Calibri" w:hAnsi="Arial" w:cs="Arial"/>
          <w:sz w:val="28"/>
          <w:szCs w:val="28"/>
        </w:rPr>
        <w:fldChar w:fldCharType="end"/>
      </w:r>
    </w:p>
    <w:p w:rsidR="004B6E34" w:rsidRDefault="004B6E34" w:rsidP="004B6E34">
      <w:pPr>
        <w:spacing w:after="0" w:line="360" w:lineRule="auto"/>
        <w:jc w:val="center"/>
        <w:outlineLvl w:val="0"/>
        <w:rPr>
          <w:rFonts w:ascii="Arial" w:eastAsia="Calibri" w:hAnsi="Arial" w:cs="Arial"/>
          <w:sz w:val="28"/>
          <w:szCs w:val="28"/>
        </w:rPr>
      </w:pPr>
    </w:p>
    <w:p w:rsidR="004B6E34" w:rsidRDefault="004B6E34" w:rsidP="004B6E34">
      <w:pPr>
        <w:spacing w:after="0" w:line="360" w:lineRule="auto"/>
        <w:jc w:val="center"/>
        <w:outlineLvl w:val="0"/>
        <w:rPr>
          <w:rFonts w:ascii="Arial" w:eastAsia="Calibri" w:hAnsi="Arial" w:cs="Arial"/>
          <w:sz w:val="28"/>
          <w:szCs w:val="28"/>
        </w:rPr>
      </w:pPr>
    </w:p>
    <w:p w:rsidR="004B6E34" w:rsidRDefault="004B6E34" w:rsidP="004B6E34">
      <w:pPr>
        <w:spacing w:after="0" w:line="360" w:lineRule="auto"/>
        <w:jc w:val="center"/>
        <w:outlineLvl w:val="0"/>
        <w:rPr>
          <w:rFonts w:ascii="Arial" w:eastAsia="Calibri" w:hAnsi="Arial" w:cs="Arial"/>
          <w:sz w:val="28"/>
          <w:szCs w:val="28"/>
        </w:rPr>
      </w:pPr>
    </w:p>
    <w:p w:rsidR="004B6E34" w:rsidRDefault="004B6E34" w:rsidP="004B6E34">
      <w:pPr>
        <w:spacing w:after="0" w:line="360" w:lineRule="auto"/>
        <w:jc w:val="center"/>
        <w:outlineLvl w:val="0"/>
        <w:rPr>
          <w:rFonts w:ascii="Arial" w:eastAsia="Calibri" w:hAnsi="Arial" w:cs="Arial"/>
          <w:sz w:val="28"/>
          <w:szCs w:val="28"/>
        </w:rPr>
      </w:pPr>
    </w:p>
    <w:p w:rsidR="004B6E34" w:rsidRDefault="004B6E34" w:rsidP="004B6E34">
      <w:pPr>
        <w:spacing w:after="0" w:line="360" w:lineRule="auto"/>
        <w:jc w:val="center"/>
        <w:outlineLvl w:val="0"/>
        <w:rPr>
          <w:rFonts w:ascii="Arial" w:eastAsia="Calibri" w:hAnsi="Arial" w:cs="Arial"/>
          <w:sz w:val="28"/>
          <w:szCs w:val="28"/>
        </w:rPr>
      </w:pPr>
    </w:p>
    <w:p w:rsidR="004B6E34" w:rsidRDefault="004B6E34" w:rsidP="004B6E34">
      <w:pPr>
        <w:spacing w:after="0" w:line="360" w:lineRule="auto"/>
        <w:jc w:val="center"/>
        <w:outlineLvl w:val="0"/>
        <w:rPr>
          <w:rFonts w:ascii="Arial" w:eastAsia="Calibri" w:hAnsi="Arial" w:cs="Arial"/>
          <w:sz w:val="28"/>
          <w:szCs w:val="28"/>
        </w:rPr>
      </w:pPr>
    </w:p>
    <w:p w:rsidR="004B6E34" w:rsidRDefault="004B6E34" w:rsidP="004B6E34">
      <w:pPr>
        <w:spacing w:after="0" w:line="360" w:lineRule="auto"/>
        <w:jc w:val="center"/>
        <w:outlineLvl w:val="0"/>
        <w:rPr>
          <w:rFonts w:ascii="Arial" w:eastAsia="Calibri" w:hAnsi="Arial" w:cs="Arial"/>
          <w:sz w:val="28"/>
          <w:szCs w:val="28"/>
        </w:rPr>
      </w:pPr>
    </w:p>
    <w:p w:rsidR="004B6E34" w:rsidRDefault="004B6E34" w:rsidP="004B6E34">
      <w:pPr>
        <w:spacing w:after="0" w:line="360" w:lineRule="auto"/>
        <w:jc w:val="center"/>
        <w:outlineLvl w:val="0"/>
        <w:rPr>
          <w:rFonts w:ascii="Arial" w:eastAsia="Calibri" w:hAnsi="Arial" w:cs="Arial"/>
          <w:sz w:val="28"/>
          <w:szCs w:val="28"/>
        </w:rPr>
      </w:pPr>
    </w:p>
    <w:p w:rsidR="004B6E34" w:rsidRDefault="004B6E34" w:rsidP="004B6E34">
      <w:pPr>
        <w:spacing w:after="0" w:line="360" w:lineRule="auto"/>
        <w:jc w:val="center"/>
        <w:outlineLvl w:val="0"/>
        <w:rPr>
          <w:rFonts w:ascii="Arial" w:eastAsia="Calibri" w:hAnsi="Arial" w:cs="Arial"/>
          <w:sz w:val="28"/>
          <w:szCs w:val="28"/>
        </w:rPr>
      </w:pPr>
    </w:p>
    <w:p w:rsidR="004B6E34" w:rsidRDefault="004B6E34" w:rsidP="004B6E34">
      <w:pPr>
        <w:spacing w:after="0" w:line="360" w:lineRule="auto"/>
        <w:jc w:val="center"/>
        <w:outlineLvl w:val="0"/>
        <w:rPr>
          <w:rFonts w:ascii="Arial" w:eastAsia="Calibri" w:hAnsi="Arial" w:cs="Arial"/>
          <w:sz w:val="28"/>
          <w:szCs w:val="28"/>
        </w:rPr>
      </w:pPr>
    </w:p>
    <w:p w:rsidR="004B6E34" w:rsidRDefault="004B6E34" w:rsidP="004B6E34">
      <w:pPr>
        <w:spacing w:after="0" w:line="360" w:lineRule="auto"/>
        <w:jc w:val="center"/>
        <w:outlineLvl w:val="0"/>
        <w:rPr>
          <w:rFonts w:ascii="Arial" w:eastAsia="Calibri" w:hAnsi="Arial" w:cs="Arial"/>
          <w:sz w:val="28"/>
          <w:szCs w:val="28"/>
        </w:rPr>
      </w:pPr>
    </w:p>
    <w:p w:rsidR="004B6E34" w:rsidRDefault="004B6E34" w:rsidP="004B6E34">
      <w:pPr>
        <w:spacing w:after="0" w:line="360" w:lineRule="auto"/>
        <w:jc w:val="center"/>
        <w:outlineLvl w:val="0"/>
        <w:rPr>
          <w:rFonts w:ascii="Arial" w:eastAsia="Calibri" w:hAnsi="Arial" w:cs="Arial"/>
          <w:sz w:val="28"/>
          <w:szCs w:val="28"/>
        </w:rPr>
      </w:pPr>
    </w:p>
    <w:p w:rsidR="004B6E34" w:rsidRDefault="004B6E34" w:rsidP="004B6E34">
      <w:pPr>
        <w:spacing w:after="0" w:line="360" w:lineRule="auto"/>
        <w:jc w:val="center"/>
        <w:outlineLvl w:val="0"/>
        <w:rPr>
          <w:rFonts w:ascii="Arial" w:eastAsia="Calibri" w:hAnsi="Arial" w:cs="Arial"/>
          <w:b/>
          <w:sz w:val="28"/>
          <w:szCs w:val="28"/>
        </w:rPr>
      </w:pPr>
      <w:bookmarkStart w:id="2" w:name="_GoBack"/>
      <w:bookmarkEnd w:id="2"/>
    </w:p>
    <w:p w:rsidR="00961808" w:rsidRPr="00961808" w:rsidRDefault="00961808" w:rsidP="00961808">
      <w:pPr>
        <w:spacing w:after="0" w:line="360" w:lineRule="auto"/>
        <w:jc w:val="center"/>
        <w:outlineLvl w:val="0"/>
        <w:rPr>
          <w:rFonts w:ascii="Arial" w:eastAsia="Calibri" w:hAnsi="Arial" w:cs="Arial"/>
          <w:b/>
          <w:sz w:val="28"/>
          <w:szCs w:val="28"/>
        </w:rPr>
      </w:pPr>
      <w:r w:rsidRPr="00961808">
        <w:rPr>
          <w:rFonts w:ascii="Arial" w:eastAsia="Calibri" w:hAnsi="Arial" w:cs="Arial"/>
          <w:b/>
          <w:sz w:val="28"/>
          <w:szCs w:val="28"/>
        </w:rPr>
        <w:lastRenderedPageBreak/>
        <w:t>РЕФЕРАТ</w:t>
      </w:r>
      <w:bookmarkEnd w:id="0"/>
    </w:p>
    <w:p w:rsidR="00961808" w:rsidRPr="00961808" w:rsidRDefault="00961808" w:rsidP="00961808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961808">
        <w:rPr>
          <w:rFonts w:ascii="Arial" w:eastAsia="Calibri" w:hAnsi="Arial" w:cs="Arial"/>
          <w:sz w:val="24"/>
          <w:szCs w:val="24"/>
        </w:rPr>
        <w:t xml:space="preserve">СХЕМА ТЕПЛОСНАБЖЕНИЯ, ОБОСНОВЫВАЮЩИЕ МАТЕРИАЛЫ К СХЕМЕ ТЕПЛОСНАБЖЕНИЯ, ТЕПЛОСНАБЖАЮЩИЕ ОРГАНИЗАЦИИ, ЕДИНАЯ ТЕПЛОСНАБЖАЮЩАЯ ОРГАНИЗАЦИЯ, ТЕПЛОВЫЕ СЕТИ, ИСТОЧНИКИ ТЕПЛОСНАБЖЕНИЯ, КОТЕЛЬНЫЕ, ТЭЦ, </w:t>
      </w:r>
      <w:r w:rsidR="00B603FF">
        <w:rPr>
          <w:rFonts w:ascii="Arial" w:eastAsia="Calibri" w:hAnsi="Arial" w:cs="Arial"/>
          <w:sz w:val="24"/>
          <w:szCs w:val="24"/>
        </w:rPr>
        <w:t>НАДЕЖНОСТЬ ТЕПЛОСНАБЖЕНИЯ.</w:t>
      </w:r>
    </w:p>
    <w:p w:rsidR="00961808" w:rsidRPr="00961808" w:rsidRDefault="00961808" w:rsidP="00961808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961808">
        <w:rPr>
          <w:rFonts w:ascii="Arial" w:eastAsia="Calibri" w:hAnsi="Arial" w:cs="Arial"/>
          <w:b/>
          <w:sz w:val="24"/>
          <w:szCs w:val="24"/>
        </w:rPr>
        <w:t>Объект исследования:</w:t>
      </w:r>
      <w:r w:rsidRPr="00961808">
        <w:rPr>
          <w:rFonts w:ascii="Arial" w:eastAsia="Calibri" w:hAnsi="Arial" w:cs="Arial"/>
          <w:sz w:val="24"/>
          <w:szCs w:val="24"/>
        </w:rPr>
        <w:t xml:space="preserve"> </w:t>
      </w:r>
      <w:r w:rsidRPr="00961808">
        <w:rPr>
          <w:rFonts w:ascii="Arial" w:eastAsia="Calibri" w:hAnsi="Arial" w:cs="Times New Roman"/>
          <w:sz w:val="24"/>
        </w:rPr>
        <w:t xml:space="preserve">система теплоснабжения </w:t>
      </w:r>
      <w:r w:rsidR="00B603FF">
        <w:rPr>
          <w:rFonts w:ascii="Arial" w:eastAsia="Calibri" w:hAnsi="Arial" w:cs="Times New Roman"/>
          <w:sz w:val="24"/>
        </w:rPr>
        <w:t>муниципального округа «Город</w:t>
      </w:r>
      <w:r w:rsidRPr="00961808">
        <w:rPr>
          <w:rFonts w:ascii="Arial" w:eastAsia="Calibri" w:hAnsi="Arial" w:cs="Times New Roman"/>
          <w:sz w:val="24"/>
        </w:rPr>
        <w:t xml:space="preserve">  </w:t>
      </w:r>
      <w:r w:rsidR="00B603FF">
        <w:rPr>
          <w:rFonts w:ascii="Arial" w:eastAsia="Calibri" w:hAnsi="Arial" w:cs="Times New Roman"/>
          <w:sz w:val="24"/>
        </w:rPr>
        <w:t>Глазов» Удмуртской Республики</w:t>
      </w:r>
      <w:r w:rsidRPr="00961808">
        <w:rPr>
          <w:rFonts w:ascii="Arial" w:eastAsia="Calibri" w:hAnsi="Arial" w:cs="Times New Roman"/>
          <w:sz w:val="24"/>
        </w:rPr>
        <w:t xml:space="preserve"> в границах, определенных Ген</w:t>
      </w:r>
      <w:r w:rsidR="00B603FF">
        <w:rPr>
          <w:rFonts w:ascii="Arial" w:eastAsia="Calibri" w:hAnsi="Arial" w:cs="Times New Roman"/>
          <w:sz w:val="24"/>
        </w:rPr>
        <w:t>еральным планом развития до 2031</w:t>
      </w:r>
      <w:r w:rsidRPr="00961808">
        <w:rPr>
          <w:rFonts w:ascii="Arial" w:eastAsia="Calibri" w:hAnsi="Arial" w:cs="Times New Roman"/>
          <w:sz w:val="24"/>
        </w:rPr>
        <w:t xml:space="preserve"> г., потребители тепловой энергии.</w:t>
      </w:r>
    </w:p>
    <w:p w:rsidR="00961808" w:rsidRPr="00961808" w:rsidRDefault="00961808" w:rsidP="00961808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961808">
        <w:rPr>
          <w:rFonts w:ascii="Arial" w:eastAsia="Calibri" w:hAnsi="Arial" w:cs="Arial"/>
          <w:b/>
          <w:sz w:val="24"/>
          <w:szCs w:val="24"/>
        </w:rPr>
        <w:t>Цель работы:</w:t>
      </w:r>
      <w:r w:rsidRPr="00961808">
        <w:rPr>
          <w:rFonts w:ascii="Arial" w:eastAsia="Calibri" w:hAnsi="Arial" w:cs="Arial"/>
          <w:sz w:val="24"/>
          <w:szCs w:val="24"/>
        </w:rPr>
        <w:t xml:space="preserve"> </w:t>
      </w:r>
      <w:r w:rsidRPr="00961808">
        <w:rPr>
          <w:rFonts w:ascii="Arial" w:eastAsia="Calibri" w:hAnsi="Arial" w:cs="Times New Roman"/>
          <w:sz w:val="24"/>
        </w:rPr>
        <w:t>удовлетворение спроса на тепловую энергию (мощность), теплоноситель и обеспечение надежного теплоснабжения наиболее экономичным способом (с соблюдением принципа минимизации расходов) при минимальном воздействии на окружающую среду, экономического стимулирования развития систем теплоснабжения и внедрении энергосберегающих технологий.</w:t>
      </w:r>
    </w:p>
    <w:p w:rsidR="00961808" w:rsidRPr="00961808" w:rsidRDefault="00961808" w:rsidP="00961808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961808">
        <w:rPr>
          <w:rFonts w:ascii="Arial" w:eastAsia="Calibri" w:hAnsi="Arial" w:cs="Arial"/>
          <w:b/>
          <w:sz w:val="24"/>
          <w:szCs w:val="24"/>
        </w:rPr>
        <w:t>Метод работы:</w:t>
      </w:r>
      <w:r w:rsidRPr="00961808">
        <w:rPr>
          <w:rFonts w:ascii="Arial" w:eastAsia="Calibri" w:hAnsi="Arial" w:cs="Arial"/>
          <w:sz w:val="24"/>
          <w:szCs w:val="24"/>
        </w:rPr>
        <w:t xml:space="preserve"> </w:t>
      </w:r>
      <w:r w:rsidRPr="00961808">
        <w:rPr>
          <w:rFonts w:ascii="Arial" w:eastAsia="Calibri" w:hAnsi="Arial" w:cs="Times New Roman"/>
          <w:sz w:val="24"/>
        </w:rPr>
        <w:t>анализ и обобщение представленных исходных данных и документов территориального планирования и развития города, разработка на их основе глав и разделов обосновывающих материалов к схеме теплоснабжения, в том числе, формирование электронной модели существующих и перспективных систем теплоснабжения города.</w:t>
      </w:r>
    </w:p>
    <w:p w:rsidR="00961808" w:rsidRPr="00961808" w:rsidRDefault="00961808" w:rsidP="00961808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961808">
        <w:rPr>
          <w:rFonts w:ascii="Arial" w:eastAsia="Calibri" w:hAnsi="Arial" w:cs="Arial"/>
          <w:b/>
          <w:sz w:val="24"/>
          <w:szCs w:val="24"/>
        </w:rPr>
        <w:t>Новизна работы:</w:t>
      </w:r>
      <w:r w:rsidRPr="00961808">
        <w:rPr>
          <w:rFonts w:ascii="Arial" w:eastAsia="Calibri" w:hAnsi="Arial" w:cs="Arial"/>
          <w:sz w:val="24"/>
          <w:szCs w:val="24"/>
        </w:rPr>
        <w:t xml:space="preserve"> </w:t>
      </w:r>
      <w:r w:rsidRPr="00961808">
        <w:rPr>
          <w:rFonts w:ascii="Arial" w:eastAsia="Calibri" w:hAnsi="Arial" w:cs="Times New Roman"/>
          <w:sz w:val="24"/>
        </w:rPr>
        <w:t>схема теплоснабже</w:t>
      </w:r>
      <w:r>
        <w:rPr>
          <w:rFonts w:ascii="Arial" w:eastAsia="Calibri" w:hAnsi="Arial" w:cs="Times New Roman"/>
          <w:sz w:val="24"/>
        </w:rPr>
        <w:t>ния города Глазова на перспективу до 2031</w:t>
      </w:r>
      <w:r w:rsidRPr="00961808">
        <w:rPr>
          <w:rFonts w:ascii="Arial" w:eastAsia="Calibri" w:hAnsi="Arial" w:cs="Times New Roman"/>
          <w:sz w:val="24"/>
        </w:rPr>
        <w:t xml:space="preserve"> г. с разработкой электронной модели разрабатывается впервые, в соответствии с требованиями Постановления Правительства РФ от 22 февраля 2012 г. № 154.</w:t>
      </w:r>
    </w:p>
    <w:p w:rsidR="00961808" w:rsidRPr="00961808" w:rsidRDefault="00961808" w:rsidP="00961808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961808">
        <w:rPr>
          <w:rFonts w:ascii="Arial" w:eastAsia="Calibri" w:hAnsi="Arial" w:cs="Arial"/>
          <w:b/>
          <w:sz w:val="24"/>
          <w:szCs w:val="24"/>
        </w:rPr>
        <w:t>Результат работы:</w:t>
      </w:r>
      <w:r w:rsidRPr="00961808">
        <w:rPr>
          <w:rFonts w:ascii="Arial" w:eastAsia="Calibri" w:hAnsi="Arial" w:cs="Arial"/>
          <w:sz w:val="24"/>
          <w:szCs w:val="24"/>
        </w:rPr>
        <w:t xml:space="preserve"> обосновывающие материалы к схеме теплоснабжения.</w:t>
      </w:r>
    </w:p>
    <w:p w:rsidR="00961808" w:rsidRPr="00961808" w:rsidRDefault="00961808" w:rsidP="00961808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961808">
        <w:rPr>
          <w:rFonts w:ascii="Arial" w:eastAsia="Calibri" w:hAnsi="Arial" w:cs="Arial"/>
          <w:sz w:val="24"/>
          <w:szCs w:val="24"/>
        </w:rPr>
        <w:t xml:space="preserve">Практическое использование: обосновывающие материалы к схеме теплоснабжения предназначены для формирования проекта схемы теплоснабжения, подлежащего утверждению, и использования администрацией и другими структурными подразделениями </w:t>
      </w:r>
      <w:r>
        <w:rPr>
          <w:rFonts w:ascii="Arial" w:eastAsia="Calibri" w:hAnsi="Arial" w:cs="Arial"/>
          <w:sz w:val="24"/>
          <w:szCs w:val="24"/>
        </w:rPr>
        <w:t xml:space="preserve">муниципального образования «Город Глазов» Удмуртской Республики </w:t>
      </w:r>
      <w:r w:rsidRPr="00961808">
        <w:rPr>
          <w:rFonts w:ascii="Arial" w:eastAsia="Calibri" w:hAnsi="Arial" w:cs="Arial"/>
          <w:sz w:val="24"/>
          <w:szCs w:val="24"/>
        </w:rPr>
        <w:t>при осуществлении регулируемой деятельности в сфере теплоснабжения.</w:t>
      </w:r>
    </w:p>
    <w:p w:rsidR="00961808" w:rsidRPr="00961808" w:rsidRDefault="00961808" w:rsidP="00961808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961808">
        <w:rPr>
          <w:rFonts w:ascii="Arial" w:eastAsia="Calibri" w:hAnsi="Arial" w:cs="Arial"/>
          <w:b/>
          <w:sz w:val="24"/>
          <w:szCs w:val="24"/>
        </w:rPr>
        <w:t xml:space="preserve">Значимость работы: </w:t>
      </w:r>
      <w:r w:rsidRPr="00961808">
        <w:rPr>
          <w:rFonts w:ascii="Arial" w:eastAsia="Calibri" w:hAnsi="Arial" w:cs="Times New Roman"/>
          <w:sz w:val="24"/>
        </w:rPr>
        <w:t xml:space="preserve">оптимальное развитие решений в части теплоснабжения, заложенных в Генеральном плане города, на основе требований Федерального закона от 27.07.2010 № 190-ФЗ «О теплоснабжении» и Постановления Правительства РФ от 22.02.2012 N 154 "О требованиях к схемам теплоснабжения, порядку их разработки и утверждения", повышение за счет этого качества снабжения потребителей тепловой энергией, улучшение </w:t>
      </w:r>
      <w:r w:rsidRPr="00961808">
        <w:rPr>
          <w:rFonts w:ascii="Arial" w:eastAsia="Calibri" w:hAnsi="Arial" w:cs="Times New Roman"/>
          <w:sz w:val="24"/>
        </w:rPr>
        <w:lastRenderedPageBreak/>
        <w:t>информационной поддержки принятия решений за счет использования электронной модели.</w:t>
      </w:r>
    </w:p>
    <w:p w:rsidR="00961808" w:rsidRPr="00961808" w:rsidRDefault="00961808" w:rsidP="00961808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</w:rPr>
      </w:pPr>
      <w:r w:rsidRPr="00961808">
        <w:rPr>
          <w:rFonts w:ascii="Arial" w:eastAsia="Calibri" w:hAnsi="Arial" w:cs="Arial"/>
          <w:b/>
          <w:sz w:val="24"/>
          <w:szCs w:val="24"/>
        </w:rPr>
        <w:t>Прогнозные предположения о развитии объекта исследования:</w:t>
      </w:r>
      <w:r w:rsidRPr="00961808">
        <w:rPr>
          <w:rFonts w:ascii="Arial" w:eastAsia="Calibri" w:hAnsi="Arial" w:cs="Arial"/>
          <w:sz w:val="24"/>
          <w:szCs w:val="24"/>
        </w:rPr>
        <w:t xml:space="preserve"> </w:t>
      </w:r>
      <w:r w:rsidRPr="00961808">
        <w:rPr>
          <w:rFonts w:ascii="Arial" w:eastAsia="Calibri" w:hAnsi="Arial" w:cs="Times New Roman"/>
          <w:sz w:val="24"/>
        </w:rPr>
        <w:t>эффективное функционирование системы теплоснабжения, ее развитие на базе ежегодной актуализации, с учетом правового регулирования в области энергоснабжения и повышения энергетической эффективности.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</w:p>
    <w:p w:rsidR="001915B9" w:rsidRDefault="001915B9" w:rsidP="001915B9">
      <w:pPr>
        <w:spacing w:after="200" w:line="276" w:lineRule="auto"/>
        <w:rPr>
          <w:rFonts w:ascii="Arial" w:eastAsia="Calibri" w:hAnsi="Arial" w:cs="Times New Roman"/>
          <w:sz w:val="24"/>
          <w:szCs w:val="28"/>
        </w:rPr>
      </w:pPr>
      <w:r w:rsidRPr="001915B9">
        <w:rPr>
          <w:rFonts w:ascii="Arial" w:eastAsia="Calibri" w:hAnsi="Arial" w:cs="Times New Roman"/>
          <w:sz w:val="24"/>
          <w:szCs w:val="28"/>
        </w:rPr>
        <w:br w:type="page"/>
      </w:r>
    </w:p>
    <w:p w:rsidR="00961808" w:rsidRDefault="00961808" w:rsidP="00961808">
      <w:pPr>
        <w:spacing w:after="200" w:line="276" w:lineRule="auto"/>
        <w:rPr>
          <w:rFonts w:ascii="Arial" w:eastAsia="Calibri" w:hAnsi="Arial" w:cs="Times New Roman"/>
          <w:sz w:val="24"/>
          <w:szCs w:val="28"/>
        </w:rPr>
      </w:pPr>
    </w:p>
    <w:p w:rsidR="00961808" w:rsidRDefault="00961808" w:rsidP="001915B9">
      <w:pPr>
        <w:spacing w:after="200" w:line="276" w:lineRule="auto"/>
        <w:rPr>
          <w:rFonts w:ascii="Arial" w:eastAsia="Times New Roman" w:hAnsi="Arial" w:cs="Arial"/>
          <w:b/>
          <w:bCs/>
          <w:kern w:val="2"/>
          <w:sz w:val="28"/>
          <w:szCs w:val="28"/>
          <w:lang w:eastAsia="ar-SA"/>
        </w:rPr>
      </w:pPr>
      <w:r>
        <w:rPr>
          <w:rFonts w:ascii="Arial" w:eastAsia="Times New Roman" w:hAnsi="Arial" w:cs="Arial"/>
          <w:b/>
          <w:bCs/>
          <w:kern w:val="2"/>
          <w:sz w:val="28"/>
          <w:szCs w:val="28"/>
          <w:lang w:eastAsia="ar-SA"/>
        </w:rPr>
        <w:br w:type="page"/>
      </w:r>
    </w:p>
    <w:p w:rsidR="001915B9" w:rsidRPr="004B6E34" w:rsidRDefault="001915B9" w:rsidP="00B603FF">
      <w:pPr>
        <w:pStyle w:val="21"/>
        <w:rPr>
          <w:rFonts w:eastAsia="Times New Roman"/>
          <w:b w:val="0"/>
          <w:lang w:eastAsia="ar-SA"/>
        </w:rPr>
      </w:pPr>
      <w:bookmarkStart w:id="3" w:name="_Toc434511418"/>
      <w:r w:rsidRPr="004B6E34">
        <w:rPr>
          <w:rFonts w:eastAsia="Times New Roman"/>
          <w:b w:val="0"/>
          <w:lang w:eastAsia="ar-SA"/>
        </w:rPr>
        <w:lastRenderedPageBreak/>
        <w:t xml:space="preserve">9 Надежность теплоснабжения </w:t>
      </w:r>
      <w:r w:rsidR="00361350" w:rsidRPr="004B6E34">
        <w:rPr>
          <w:rFonts w:eastAsia="Times New Roman"/>
          <w:b w:val="0"/>
          <w:lang w:eastAsia="ar-SA"/>
        </w:rPr>
        <w:t>в муниципально образовании «Город Глазов» Удмуртской Республики</w:t>
      </w:r>
      <w:bookmarkEnd w:id="3"/>
    </w:p>
    <w:p w:rsidR="001915B9" w:rsidRPr="004B6E34" w:rsidRDefault="001915B9" w:rsidP="00B603FF">
      <w:pPr>
        <w:pStyle w:val="21"/>
        <w:rPr>
          <w:b w:val="0"/>
        </w:rPr>
      </w:pPr>
      <w:bookmarkStart w:id="4" w:name="_Toc434511419"/>
      <w:r w:rsidRPr="004B6E34">
        <w:rPr>
          <w:b w:val="0"/>
        </w:rPr>
        <w:t>9.1 Описание показателей, определяемых в соответствии с методическими указаниями по расчету уровня надежности и качества поставляемых товаров, оказываемых услуг для организаций, осуществляющих деятельность по производству и (или) передаче тепловой энергии</w:t>
      </w:r>
      <w:bookmarkEnd w:id="4"/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В соответствии с рекомендациями [9], оценка надежности теплоснабжения осуществляется по результатам сравнения расчетного значения обобщенного показателя надежности (вероятности безотказной работы) тепловой сети с нормированным значением этого показателя [2, 9]. При оценке надежности теплоснабжения используются следующие показатели: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- параметр потока отказов i-го участка тепловой сети: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</w:p>
    <w:tbl>
      <w:tblPr>
        <w:tblStyle w:val="1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853"/>
        <w:gridCol w:w="1465"/>
      </w:tblGrid>
      <w:tr w:rsidR="001915B9" w:rsidRPr="001915B9" w:rsidTr="003A23D2">
        <w:trPr>
          <w:jc w:val="center"/>
        </w:trPr>
        <w:tc>
          <w:tcPr>
            <w:tcW w:w="6853" w:type="dxa"/>
          </w:tcPr>
          <w:p w:rsidR="001915B9" w:rsidRPr="001915B9" w:rsidRDefault="001915B9" w:rsidP="001915B9">
            <w:pPr>
              <w:spacing w:line="360" w:lineRule="auto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1915B9">
              <w:rPr>
                <w:rFonts w:ascii="Arial" w:eastAsia="Calibri" w:hAnsi="Arial" w:cs="Arial"/>
                <w:noProof/>
                <w:szCs w:val="24"/>
                <w:lang w:eastAsia="ru-RU"/>
              </w:rPr>
              <w:drawing>
                <wp:inline distT="0" distB="0" distL="0" distR="0" wp14:anchorId="1F13A7A5" wp14:editId="50132C1F">
                  <wp:extent cx="2218114" cy="301925"/>
                  <wp:effectExtent l="1905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 l="71376" t="30273" r="18050" b="661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8922" cy="302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65" w:type="dxa"/>
            <w:vAlign w:val="center"/>
          </w:tcPr>
          <w:p w:rsidR="001915B9" w:rsidRPr="001915B9" w:rsidRDefault="001915B9" w:rsidP="001915B9">
            <w:pPr>
              <w:spacing w:line="360" w:lineRule="auto"/>
              <w:jc w:val="both"/>
              <w:rPr>
                <w:rFonts w:ascii="Arial" w:eastAsia="Calibri" w:hAnsi="Arial" w:cs="Arial"/>
                <w:sz w:val="24"/>
              </w:rPr>
            </w:pPr>
            <w:r w:rsidRPr="001915B9">
              <w:rPr>
                <w:rFonts w:ascii="Arial" w:eastAsia="Calibri" w:hAnsi="Arial" w:cs="Times New Roman"/>
                <w:sz w:val="24"/>
                <w:szCs w:val="24"/>
              </w:rPr>
              <w:t>(9.1.1)</w:t>
            </w:r>
          </w:p>
        </w:tc>
      </w:tr>
    </w:tbl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</w:rPr>
      </w:pP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Times New Roman"/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eastAsia="Calibri" w:hAnsi="Cambria Math" w:cs="Arial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λ</m:t>
            </m:r>
          </m:e>
          <m:sub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i</m:t>
            </m:r>
          </m:sub>
        </m:sSub>
      </m:oMath>
      <w:r w:rsidRPr="001915B9">
        <w:rPr>
          <w:rFonts w:ascii="Arial" w:eastAsia="Calibri" w:hAnsi="Arial" w:cs="Arial"/>
          <w:sz w:val="24"/>
          <w:szCs w:val="24"/>
        </w:rPr>
        <w:t xml:space="preserve"> – интенсивность отказа i-го участка тепловой сети, 1/(год·км);</w:t>
      </w:r>
    </w:p>
    <w:p w:rsidR="001915B9" w:rsidRPr="001915B9" w:rsidRDefault="0003140D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m:oMath>
        <m:sSub>
          <m:sSubPr>
            <m:ctrlPr>
              <w:rPr>
                <w:rFonts w:ascii="Cambria Math" w:eastAsia="Calibri" w:hAnsi="Cambria Math" w:cs="Arial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L</m:t>
            </m:r>
          </m:e>
          <m:sub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i</m:t>
            </m:r>
          </m:sub>
        </m:sSub>
      </m:oMath>
      <w:r w:rsidR="001915B9" w:rsidRPr="001915B9">
        <w:rPr>
          <w:rFonts w:ascii="Arial" w:eastAsia="Calibri" w:hAnsi="Arial" w:cs="Arial"/>
          <w:sz w:val="24"/>
          <w:szCs w:val="24"/>
        </w:rPr>
        <w:t xml:space="preserve"> - длина i-го участка тепловой сети, км;</w:t>
      </w:r>
    </w:p>
    <w:p w:rsidR="001915B9" w:rsidRPr="001915B9" w:rsidRDefault="0003140D" w:rsidP="001915B9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  <w:szCs w:val="24"/>
        </w:rPr>
      </w:pPr>
      <m:oMath>
        <m:nary>
          <m:naryPr>
            <m:chr m:val="∑"/>
            <m:limLoc m:val="undOvr"/>
            <m:ctrlPr>
              <w:rPr>
                <w:rFonts w:ascii="Cambria Math" w:eastAsia="Calibri" w:hAnsi="Cambria Math" w:cs="Arial"/>
                <w:sz w:val="24"/>
                <w:szCs w:val="24"/>
              </w:rPr>
            </m:ctrlPr>
          </m:naryPr>
          <m:sub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i=1</m:t>
            </m:r>
          </m:sub>
          <m:sup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Fonts w:ascii="Cambria Math" w:eastAsia="Calibri" w:hAnsi="Cambria Math" w:cs="Arial"/>
                    <w:sz w:val="24"/>
                    <w:szCs w:val="24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eastAsia="Calibri" w:hAnsi="Cambria Math" w:cs="Arial"/>
                        <w:sz w:val="24"/>
                        <w:szCs w:val="24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eastAsia="Calibri" w:hAnsi="Arial" w:cs="Arial"/>
                        <w:sz w:val="24"/>
                        <w:szCs w:val="24"/>
                      </w:rPr>
                      <m:t>z</m:t>
                    </m:r>
                  </m:e>
                </m:acc>
              </m:e>
              <m:sub>
                <m:r>
                  <m:rPr>
                    <m:sty m:val="p"/>
                  </m:rPr>
                  <w:rPr>
                    <w:rFonts w:ascii="Cambria Math" w:eastAsia="Calibri" w:hAnsi="Arial" w:cs="Arial"/>
                    <w:sz w:val="24"/>
                    <w:szCs w:val="24"/>
                  </w:rPr>
                  <m:t>i,j</m:t>
                </m:r>
              </m:sub>
            </m:sSub>
          </m:e>
        </m:nary>
      </m:oMath>
      <w:r w:rsidR="001915B9" w:rsidRPr="001915B9">
        <w:rPr>
          <w:rFonts w:ascii="Arial" w:eastAsia="Calibri" w:hAnsi="Arial" w:cs="Arial"/>
          <w:sz w:val="24"/>
          <w:szCs w:val="24"/>
        </w:rPr>
        <w:t xml:space="preserve"> – сумма относительных долей отказов i-го участка тепловой сети, способных привести к снижению температуры в отапливаемом помещении.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  <w:szCs w:val="24"/>
        </w:rPr>
      </w:pPr>
      <w:r w:rsidRPr="001915B9">
        <w:rPr>
          <w:rFonts w:ascii="Arial" w:eastAsia="Calibri" w:hAnsi="Arial" w:cs="Times New Roman"/>
          <w:sz w:val="24"/>
          <w:szCs w:val="24"/>
        </w:rPr>
        <w:t>- интенсивность отказа i-го участка тепловой сети: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</w:rPr>
      </w:pPr>
    </w:p>
    <w:tbl>
      <w:tblPr>
        <w:tblStyle w:val="1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37"/>
        <w:gridCol w:w="1181"/>
      </w:tblGrid>
      <w:tr w:rsidR="001915B9" w:rsidRPr="001915B9" w:rsidTr="003A23D2">
        <w:trPr>
          <w:jc w:val="center"/>
        </w:trPr>
        <w:tc>
          <w:tcPr>
            <w:tcW w:w="7137" w:type="dxa"/>
            <w:vAlign w:val="center"/>
          </w:tcPr>
          <w:p w:rsidR="001915B9" w:rsidRPr="001915B9" w:rsidRDefault="001915B9" w:rsidP="001915B9">
            <w:pPr>
              <w:spacing w:line="360" w:lineRule="auto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1915B9">
              <w:rPr>
                <w:rFonts w:ascii="Arial" w:eastAsia="Calibri" w:hAnsi="Arial" w:cs="Arial"/>
                <w:noProof/>
                <w:szCs w:val="24"/>
                <w:lang w:eastAsia="ru-RU"/>
              </w:rPr>
              <w:drawing>
                <wp:inline distT="0" distB="0" distL="0" distR="0" wp14:anchorId="0A909089" wp14:editId="67058121">
                  <wp:extent cx="2301456" cy="284882"/>
                  <wp:effectExtent l="19050" t="0" r="3594" b="0"/>
                  <wp:docPr id="2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 l="71401" t="54909" r="16747" b="414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1456" cy="2848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1" w:type="dxa"/>
            <w:vAlign w:val="center"/>
          </w:tcPr>
          <w:p w:rsidR="001915B9" w:rsidRPr="001915B9" w:rsidRDefault="001915B9" w:rsidP="001915B9">
            <w:pPr>
              <w:spacing w:line="360" w:lineRule="auto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1915B9">
              <w:rPr>
                <w:rFonts w:ascii="Arial" w:eastAsia="Calibri" w:hAnsi="Arial" w:cs="Times New Roman"/>
                <w:sz w:val="24"/>
              </w:rPr>
              <w:t>(9.1.2)</w:t>
            </w:r>
          </w:p>
        </w:tc>
      </w:tr>
    </w:tbl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</w:rPr>
      </w:pP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</w:rPr>
      </w:pPr>
      <w:r w:rsidRPr="001915B9">
        <w:rPr>
          <w:rFonts w:ascii="Arial" w:eastAsia="Calibri" w:hAnsi="Arial" w:cs="Times New Roman"/>
          <w:sz w:val="24"/>
        </w:rPr>
        <w:t xml:space="preserve">где </w:t>
      </w:r>
      <m:oMath>
        <m:sSub>
          <m:sSubPr>
            <m:ctrlPr>
              <w:rPr>
                <w:rFonts w:ascii="Cambria Math" w:eastAsia="Calibri" w:hAnsi="Cambria Math" w:cs="Arial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Arial" w:cs="Arial" w:hint="eastAsia"/>
                <w:sz w:val="24"/>
                <w:szCs w:val="24"/>
              </w:rPr>
              <m:t>λ</m:t>
            </m:r>
          </m:e>
          <m:sub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0</m:t>
            </m:r>
          </m:sub>
        </m:sSub>
      </m:oMath>
      <w:r w:rsidRPr="001915B9">
        <w:rPr>
          <w:rFonts w:ascii="Arial" w:eastAsia="Calibri" w:hAnsi="Arial" w:cs="Arial"/>
          <w:sz w:val="24"/>
          <w:szCs w:val="24"/>
        </w:rPr>
        <w:t xml:space="preserve"> – устойчивая интенсивность отказов 1 км участка тепловой сети в г</w:t>
      </w:r>
      <w:r w:rsidRPr="001915B9">
        <w:rPr>
          <w:rFonts w:ascii="Arial" w:eastAsia="Calibri" w:hAnsi="Arial" w:cs="Times New Roman"/>
          <w:sz w:val="24"/>
        </w:rPr>
        <w:t>оду,      1/(км·год);</w:t>
      </w:r>
    </w:p>
    <w:p w:rsidR="001915B9" w:rsidRPr="001915B9" w:rsidRDefault="0003140D" w:rsidP="001915B9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</w:rPr>
      </w:pPr>
      <m:oMath>
        <m:sSubSup>
          <m:sSubSupPr>
            <m:ctrlPr>
              <w:rPr>
                <w:rFonts w:ascii="Cambria Math" w:eastAsia="Calibri" w:hAnsi="Cambria Math" w:cs="Arial"/>
                <w:sz w:val="24"/>
                <w:szCs w:val="24"/>
              </w:rPr>
            </m:ctrlPr>
          </m:sSubSupPr>
          <m:e>
            <m:r>
              <m:rPr>
                <m:sty m:val="p"/>
              </m:rPr>
              <w:rPr>
                <w:rFonts w:ascii="Cambria Math" w:eastAsia="Calibri" w:hAnsi="Arial" w:cs="Arial" w:hint="eastAsia"/>
                <w:sz w:val="24"/>
                <w:szCs w:val="24"/>
              </w:rPr>
              <m:t>τ</m:t>
            </m:r>
          </m:e>
          <m:sub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i</m:t>
            </m:r>
          </m:sub>
          <m:sup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сэ</m:t>
            </m:r>
          </m:sup>
        </m:sSubSup>
      </m:oMath>
      <w:r w:rsidR="001915B9" w:rsidRPr="001915B9">
        <w:rPr>
          <w:rFonts w:ascii="Arial" w:eastAsia="Calibri" w:hAnsi="Arial" w:cs="Times New Roman"/>
          <w:sz w:val="24"/>
        </w:rPr>
        <w:t xml:space="preserve"> - продолжительность эксплуатации i-го участка тепловой сети, лет;</w:t>
      </w:r>
    </w:p>
    <w:p w:rsidR="001915B9" w:rsidRPr="001915B9" w:rsidRDefault="0003140D" w:rsidP="001915B9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</w:rPr>
      </w:pPr>
      <m:oMath>
        <m:sSub>
          <m:sSubPr>
            <m:ctrlPr>
              <w:rPr>
                <w:rFonts w:ascii="Cambria Math" w:eastAsia="Calibri" w:hAnsi="Cambria Math" w:cs="Arial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Arial" w:cs="Arial" w:hint="eastAsia"/>
                <w:sz w:val="24"/>
                <w:szCs w:val="24"/>
              </w:rPr>
              <m:t>α</m:t>
            </m:r>
          </m:e>
          <m:sub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i</m:t>
            </m:r>
          </m:sub>
        </m:sSub>
      </m:oMath>
      <w:r w:rsidR="001915B9" w:rsidRPr="001915B9">
        <w:rPr>
          <w:rFonts w:ascii="Arial" w:eastAsia="Calibri" w:hAnsi="Arial" w:cs="Arial"/>
          <w:sz w:val="24"/>
          <w:szCs w:val="24"/>
        </w:rPr>
        <w:t xml:space="preserve"> - эмпирический коэффициент, значение которого зависит от продолж</w:t>
      </w:r>
      <w:r w:rsidR="001915B9" w:rsidRPr="001915B9">
        <w:rPr>
          <w:rFonts w:ascii="Arial" w:eastAsia="Calibri" w:hAnsi="Arial" w:cs="Times New Roman"/>
          <w:sz w:val="24"/>
        </w:rPr>
        <w:t xml:space="preserve">ительности эксплуатации </w:t>
      </w:r>
      <m:oMath>
        <m:sSubSup>
          <m:sSubSupPr>
            <m:ctrlPr>
              <w:rPr>
                <w:rFonts w:ascii="Cambria Math" w:eastAsia="Calibri" w:hAnsi="Cambria Math" w:cs="Arial"/>
                <w:sz w:val="24"/>
                <w:szCs w:val="24"/>
              </w:rPr>
            </m:ctrlPr>
          </m:sSubSupPr>
          <m:e>
            <m:r>
              <m:rPr>
                <m:sty m:val="p"/>
              </m:rPr>
              <w:rPr>
                <w:rFonts w:ascii="Cambria Math" w:eastAsia="Calibri" w:hAnsi="Arial" w:cs="Arial" w:hint="eastAsia"/>
                <w:sz w:val="24"/>
                <w:szCs w:val="24"/>
              </w:rPr>
              <m:t>τ</m:t>
            </m:r>
          </m:e>
          <m:sub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i</m:t>
            </m:r>
          </m:sub>
          <m:sup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сэ</m:t>
            </m:r>
          </m:sup>
        </m:sSubSup>
      </m:oMath>
      <w:r w:rsidR="001915B9" w:rsidRPr="001915B9">
        <w:rPr>
          <w:rFonts w:ascii="Arial" w:eastAsia="Calibri" w:hAnsi="Arial" w:cs="Times New Roman"/>
          <w:sz w:val="24"/>
        </w:rPr>
        <w:t xml:space="preserve"> i-го участка тепловой сети: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  <w:szCs w:val="24"/>
        </w:rPr>
      </w:pPr>
    </w:p>
    <w:tbl>
      <w:tblPr>
        <w:tblStyle w:val="1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37"/>
        <w:gridCol w:w="1181"/>
      </w:tblGrid>
      <w:tr w:rsidR="001915B9" w:rsidRPr="001915B9" w:rsidTr="003A23D2">
        <w:trPr>
          <w:jc w:val="center"/>
        </w:trPr>
        <w:tc>
          <w:tcPr>
            <w:tcW w:w="7137" w:type="dxa"/>
            <w:vAlign w:val="center"/>
          </w:tcPr>
          <w:p w:rsidR="001915B9" w:rsidRPr="001915B9" w:rsidRDefault="001915B9" w:rsidP="001915B9">
            <w:pPr>
              <w:spacing w:line="360" w:lineRule="auto"/>
              <w:ind w:firstLine="709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1915B9">
              <w:rPr>
                <w:rFonts w:ascii="Arial" w:eastAsia="Calibri" w:hAnsi="Arial" w:cs="Arial"/>
                <w:noProof/>
                <w:szCs w:val="24"/>
                <w:lang w:eastAsia="ru-RU"/>
              </w:rPr>
              <w:lastRenderedPageBreak/>
              <w:drawing>
                <wp:inline distT="0" distB="0" distL="0" distR="0" wp14:anchorId="5937B304" wp14:editId="48DB8D19">
                  <wp:extent cx="2313624" cy="879894"/>
                  <wp:effectExtent l="19050" t="0" r="0" b="0"/>
                  <wp:docPr id="3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 l="73950" t="78545" r="14655" b="105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3913" cy="8800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1" w:type="dxa"/>
            <w:vAlign w:val="center"/>
          </w:tcPr>
          <w:p w:rsidR="001915B9" w:rsidRPr="001915B9" w:rsidRDefault="001915B9" w:rsidP="001915B9">
            <w:pPr>
              <w:spacing w:line="360" w:lineRule="auto"/>
              <w:jc w:val="both"/>
              <w:rPr>
                <w:rFonts w:ascii="Arial" w:eastAsia="Calibri" w:hAnsi="Arial" w:cs="Times New Roman"/>
                <w:sz w:val="24"/>
              </w:rPr>
            </w:pPr>
            <w:r w:rsidRPr="001915B9">
              <w:rPr>
                <w:rFonts w:ascii="Arial" w:eastAsia="Calibri" w:hAnsi="Arial" w:cs="Times New Roman"/>
                <w:sz w:val="24"/>
              </w:rPr>
              <w:t>(9.1.3)</w:t>
            </w:r>
          </w:p>
        </w:tc>
      </w:tr>
    </w:tbl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- относительная доля отказов участка тепловой сети, способных привести к снижению температуры в отапливаемом здании потребителя:</w:t>
      </w:r>
    </w:p>
    <w:tbl>
      <w:tblPr>
        <w:tblStyle w:val="1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37"/>
        <w:gridCol w:w="1181"/>
      </w:tblGrid>
      <w:tr w:rsidR="001915B9" w:rsidRPr="001915B9" w:rsidTr="003A23D2">
        <w:trPr>
          <w:jc w:val="center"/>
        </w:trPr>
        <w:tc>
          <w:tcPr>
            <w:tcW w:w="7137" w:type="dxa"/>
            <w:vAlign w:val="center"/>
          </w:tcPr>
          <w:p w:rsidR="001915B9" w:rsidRPr="001915B9" w:rsidRDefault="001915B9" w:rsidP="001915B9">
            <w:pPr>
              <w:spacing w:line="360" w:lineRule="auto"/>
              <w:ind w:firstLine="709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1915B9">
              <w:rPr>
                <w:rFonts w:ascii="Arial" w:eastAsia="Calibri" w:hAnsi="Arial" w:cs="Arial"/>
                <w:noProof/>
                <w:szCs w:val="24"/>
                <w:lang w:eastAsia="ru-RU"/>
              </w:rPr>
              <w:drawing>
                <wp:inline distT="0" distB="0" distL="0" distR="0" wp14:anchorId="29C0E075" wp14:editId="676FC351">
                  <wp:extent cx="1746190" cy="414992"/>
                  <wp:effectExtent l="19050" t="0" r="6410" b="0"/>
                  <wp:docPr id="4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71431" t="24758" r="19587" b="698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190" cy="4149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1" w:type="dxa"/>
            <w:vAlign w:val="center"/>
          </w:tcPr>
          <w:p w:rsidR="001915B9" w:rsidRPr="001915B9" w:rsidRDefault="001915B9" w:rsidP="001915B9">
            <w:pPr>
              <w:spacing w:line="360" w:lineRule="auto"/>
              <w:jc w:val="both"/>
              <w:rPr>
                <w:rFonts w:ascii="Arial" w:eastAsia="Calibri" w:hAnsi="Arial" w:cs="Times New Roman"/>
                <w:sz w:val="24"/>
              </w:rPr>
            </w:pPr>
            <w:r w:rsidRPr="001915B9">
              <w:rPr>
                <w:rFonts w:ascii="Arial" w:eastAsia="Calibri" w:hAnsi="Arial" w:cs="Times New Roman"/>
                <w:sz w:val="24"/>
              </w:rPr>
              <w:t>(9.1.4)</w:t>
            </w:r>
          </w:p>
        </w:tc>
      </w:tr>
    </w:tbl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</w:rPr>
      </w:pP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где  j = 1, … , N – j-я температура наружного воздуха;</w:t>
      </w:r>
    </w:p>
    <w:p w:rsidR="001915B9" w:rsidRPr="001915B9" w:rsidRDefault="0003140D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m:oMath>
        <m:sSub>
          <m:sSubPr>
            <m:ctrlPr>
              <w:rPr>
                <w:rFonts w:ascii="Cambria Math" w:eastAsia="Calibri" w:hAnsi="Cambria Math" w:cs="Arial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z</m:t>
            </m:r>
          </m:e>
          <m:sub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i,j</m:t>
            </m:r>
          </m:sub>
        </m:sSub>
      </m:oMath>
      <w:r w:rsidR="001915B9" w:rsidRPr="001915B9">
        <w:rPr>
          <w:rFonts w:ascii="Arial" w:eastAsia="Calibri" w:hAnsi="Arial" w:cs="Arial"/>
          <w:sz w:val="24"/>
          <w:szCs w:val="24"/>
        </w:rPr>
        <w:t xml:space="preserve"> - время снижения внутренней температуры воздуха в помещениях при отказах участка тепловой сети k - го диаметра при j-х температурах наружного воздуха, способных привести к снижению температуры в i-м здании потребителя;</w:t>
      </w:r>
    </w:p>
    <w:p w:rsidR="001915B9" w:rsidRPr="001915B9" w:rsidRDefault="0003140D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m:oMath>
        <m:sSubSup>
          <m:sSubSupPr>
            <m:ctrlPr>
              <w:rPr>
                <w:rFonts w:ascii="Cambria Math" w:eastAsia="Calibri" w:hAnsi="Cambria Math" w:cs="Arial"/>
                <w:sz w:val="24"/>
                <w:szCs w:val="24"/>
              </w:rPr>
            </m:ctrlPr>
          </m:sSubSupPr>
          <m:e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z</m:t>
            </m:r>
          </m:e>
          <m:sub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k</m:t>
            </m:r>
          </m:sub>
          <m:sup>
            <m:r>
              <m:rPr>
                <m:sty m:val="p"/>
              </m:rPr>
              <w:rPr>
                <w:rFonts w:ascii="Cambria Math" w:eastAsia="Calibri" w:hAnsi="Arial" w:cs="Arial" w:hint="eastAsia"/>
                <w:sz w:val="24"/>
                <w:szCs w:val="24"/>
              </w:rPr>
              <m:t>р</m:t>
            </m:r>
          </m:sup>
        </m:sSubSup>
      </m:oMath>
      <w:r w:rsidR="001915B9" w:rsidRPr="001915B9">
        <w:rPr>
          <w:rFonts w:ascii="Arial" w:eastAsia="Calibri" w:hAnsi="Arial" w:cs="Arial"/>
          <w:sz w:val="24"/>
          <w:szCs w:val="24"/>
        </w:rPr>
        <w:t xml:space="preserve"> – среднее время до восстановления участков тепловой сети k -го диаметра после отказа;</w:t>
      </w:r>
    </w:p>
    <w:p w:rsidR="001915B9" w:rsidRPr="001915B9" w:rsidRDefault="0003140D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m:oMath>
        <m:sSubSup>
          <m:sSubSupPr>
            <m:ctrlPr>
              <w:rPr>
                <w:rFonts w:ascii="Cambria Math" w:eastAsia="Calibri" w:hAnsi="Cambria Math" w:cs="Arial"/>
                <w:sz w:val="24"/>
                <w:szCs w:val="24"/>
              </w:rPr>
            </m:ctrlPr>
          </m:sSubSupPr>
          <m:e>
            <m:r>
              <m:rPr>
                <m:sty m:val="p"/>
              </m:rPr>
              <w:rPr>
                <w:rFonts w:ascii="Cambria Math" w:eastAsia="Calibri" w:hAnsi="Arial" w:cs="Arial" w:hint="eastAsia"/>
                <w:sz w:val="24"/>
                <w:szCs w:val="24"/>
              </w:rPr>
              <m:t>τ</m:t>
            </m:r>
          </m:e>
          <m:sub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j</m:t>
            </m:r>
          </m:sub>
          <m:sup>
            <m:r>
              <m:rPr>
                <m:sty m:val="p"/>
              </m:rPr>
              <w:rPr>
                <w:rFonts w:ascii="Cambria Math" w:eastAsia="Calibri" w:hAnsi="Arial" w:cs="Arial" w:hint="eastAsia"/>
                <w:sz w:val="24"/>
                <w:szCs w:val="24"/>
              </w:rPr>
              <m:t>н</m:t>
            </m:r>
          </m:sup>
        </m:sSubSup>
      </m:oMath>
      <w:r w:rsidR="001915B9" w:rsidRPr="001915B9">
        <w:rPr>
          <w:rFonts w:ascii="Arial" w:eastAsia="Calibri" w:hAnsi="Arial" w:cs="Arial"/>
          <w:sz w:val="24"/>
          <w:szCs w:val="24"/>
        </w:rPr>
        <w:t xml:space="preserve"> – повторяемость j - й температуры наружного воздуха, ч.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 xml:space="preserve">- время снижения </w:t>
      </w:r>
      <m:oMath>
        <m:sSub>
          <m:sSubPr>
            <m:ctrlPr>
              <w:rPr>
                <w:rFonts w:ascii="Cambria Math" w:eastAsia="Calibri" w:hAnsi="Cambria Math" w:cs="Arial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z</m:t>
            </m:r>
          </m:e>
          <m:sub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i,j</m:t>
            </m:r>
          </m:sub>
        </m:sSub>
      </m:oMath>
      <w:r w:rsidRPr="001915B9">
        <w:rPr>
          <w:rFonts w:ascii="Arial" w:eastAsia="Calibri" w:hAnsi="Arial" w:cs="Arial"/>
          <w:sz w:val="24"/>
          <w:szCs w:val="24"/>
        </w:rPr>
        <w:t xml:space="preserve"> внутренней температуры воздуха в помещениях при отказах участка тепловой сети k - го диаметра при j - х температурах наружного воздуха, способных привести к снижению температуры в i - м помещении потребителя: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</w:p>
    <w:tbl>
      <w:tblPr>
        <w:tblStyle w:val="1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853"/>
        <w:gridCol w:w="1465"/>
      </w:tblGrid>
      <w:tr w:rsidR="001915B9" w:rsidRPr="001915B9" w:rsidTr="003A23D2">
        <w:trPr>
          <w:jc w:val="center"/>
        </w:trPr>
        <w:tc>
          <w:tcPr>
            <w:tcW w:w="6853" w:type="dxa"/>
            <w:vAlign w:val="center"/>
          </w:tcPr>
          <w:p w:rsidR="001915B9" w:rsidRPr="001915B9" w:rsidRDefault="001915B9" w:rsidP="001915B9">
            <w:pPr>
              <w:spacing w:line="360" w:lineRule="auto"/>
              <w:ind w:firstLine="709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1915B9">
              <w:rPr>
                <w:rFonts w:ascii="Arial" w:eastAsia="Calibri" w:hAnsi="Arial" w:cs="Arial"/>
                <w:noProof/>
                <w:szCs w:val="24"/>
                <w:lang w:eastAsia="ru-RU"/>
              </w:rPr>
              <w:drawing>
                <wp:inline distT="0" distB="0" distL="0" distR="0" wp14:anchorId="45A4D9F6" wp14:editId="604A7C8B">
                  <wp:extent cx="2077168" cy="612476"/>
                  <wp:effectExtent l="19050" t="0" r="0" b="0"/>
                  <wp:docPr id="5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71469" t="72389" r="20508" b="216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7168" cy="6124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65" w:type="dxa"/>
            <w:vAlign w:val="center"/>
          </w:tcPr>
          <w:p w:rsidR="001915B9" w:rsidRPr="001915B9" w:rsidRDefault="001915B9" w:rsidP="001915B9">
            <w:pPr>
              <w:spacing w:line="360" w:lineRule="auto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1915B9">
              <w:rPr>
                <w:rFonts w:ascii="Arial" w:eastAsia="Calibri" w:hAnsi="Arial" w:cs="Arial"/>
                <w:sz w:val="24"/>
                <w:szCs w:val="24"/>
              </w:rPr>
              <w:t>(9.1..5)</w:t>
            </w:r>
          </w:p>
        </w:tc>
      </w:tr>
    </w:tbl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 xml:space="preserve">где </w:t>
      </w:r>
      <w:r w:rsidRPr="001915B9">
        <w:rPr>
          <w:rFonts w:ascii="Arial" w:eastAsia="Calibri" w:hAnsi="Arial" w:cs="Arial"/>
          <w:sz w:val="24"/>
          <w:szCs w:val="24"/>
        </w:rPr>
        <w:sym w:font="Symbol" w:char="F062"/>
      </w:r>
      <w:r w:rsidRPr="001915B9">
        <w:rPr>
          <w:rFonts w:ascii="Arial" w:eastAsia="Calibri" w:hAnsi="Arial" w:cs="Arial"/>
          <w:sz w:val="24"/>
          <w:szCs w:val="24"/>
        </w:rPr>
        <w:t>i, - коэффициент тепловой аккумуляции i - го здания потребителя, ч;</w:t>
      </w:r>
    </w:p>
    <w:p w:rsidR="001915B9" w:rsidRPr="001915B9" w:rsidRDefault="0003140D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m:oMath>
        <m:sSubSup>
          <m:sSubSupPr>
            <m:ctrlPr>
              <w:rPr>
                <w:rFonts w:ascii="Cambria Math" w:eastAsia="Calibri" w:hAnsi="Cambria Math" w:cs="Arial"/>
                <w:sz w:val="24"/>
                <w:szCs w:val="24"/>
              </w:rPr>
            </m:ctrlPr>
          </m:sSubSupPr>
          <m:e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t</m:t>
            </m:r>
          </m:e>
          <m:sub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i</m:t>
            </m:r>
          </m:sub>
          <m:sup>
            <m:r>
              <m:rPr>
                <m:sty m:val="p"/>
              </m:rPr>
              <w:rPr>
                <w:rFonts w:ascii="Cambria Math" w:eastAsia="Calibri" w:hAnsi="Arial" w:cs="Arial" w:hint="eastAsia"/>
                <w:sz w:val="24"/>
                <w:szCs w:val="24"/>
              </w:rPr>
              <m:t>в</m:t>
            </m:r>
          </m:sup>
        </m:sSubSup>
      </m:oMath>
      <w:r w:rsidR="001915B9" w:rsidRPr="001915B9">
        <w:rPr>
          <w:rFonts w:ascii="Arial" w:eastAsia="Calibri" w:hAnsi="Arial" w:cs="Arial"/>
          <w:sz w:val="24"/>
          <w:szCs w:val="24"/>
        </w:rPr>
        <w:t xml:space="preserve"> – температура воздуха в помещениях i - го здания потребителя, ºС;</w:t>
      </w:r>
    </w:p>
    <w:p w:rsidR="001915B9" w:rsidRPr="001915B9" w:rsidRDefault="0003140D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m:oMath>
        <m:sSubSup>
          <m:sSubSupPr>
            <m:ctrlPr>
              <w:rPr>
                <w:rFonts w:ascii="Cambria Math" w:eastAsia="Calibri" w:hAnsi="Cambria Math" w:cs="Arial"/>
                <w:sz w:val="24"/>
                <w:szCs w:val="24"/>
              </w:rPr>
            </m:ctrlPr>
          </m:sSubSupPr>
          <m:e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t</m:t>
            </m:r>
          </m:e>
          <m:sub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j</m:t>
            </m:r>
          </m:sub>
          <m:sup>
            <m:r>
              <m:rPr>
                <m:sty m:val="p"/>
              </m:rPr>
              <w:rPr>
                <w:rFonts w:ascii="Cambria Math" w:eastAsia="Calibri" w:hAnsi="Arial" w:cs="Arial" w:hint="eastAsia"/>
                <w:sz w:val="24"/>
                <w:szCs w:val="24"/>
              </w:rPr>
              <m:t>н</m:t>
            </m:r>
          </m:sup>
        </m:sSubSup>
      </m:oMath>
      <w:r w:rsidR="001915B9" w:rsidRPr="001915B9">
        <w:rPr>
          <w:rFonts w:ascii="Arial" w:eastAsia="Calibri" w:hAnsi="Arial" w:cs="Arial"/>
          <w:sz w:val="24"/>
          <w:szCs w:val="24"/>
        </w:rPr>
        <w:t xml:space="preserve"> – j - я температура наружного воздуха, ºС;</w:t>
      </w:r>
    </w:p>
    <w:p w:rsidR="001915B9" w:rsidRPr="001915B9" w:rsidRDefault="0003140D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m:oMath>
        <m:sSubSup>
          <m:sSubSupPr>
            <m:ctrlPr>
              <w:rPr>
                <w:rFonts w:ascii="Cambria Math" w:eastAsia="Calibri" w:hAnsi="Cambria Math" w:cs="Arial"/>
                <w:sz w:val="24"/>
                <w:szCs w:val="24"/>
              </w:rPr>
            </m:ctrlPr>
          </m:sSubSupPr>
          <m:e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t</m:t>
            </m:r>
          </m:e>
          <m:sub>
            <m:sSub>
              <m:sSubPr>
                <m:ctrlPr>
                  <w:rPr>
                    <w:rFonts w:ascii="Cambria Math" w:eastAsia="Calibri" w:hAnsi="Cambria Math" w:cs="Arial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Calibri" w:hAnsi="Arial" w:cs="Arial"/>
                    <w:sz w:val="24"/>
                    <w:szCs w:val="24"/>
                  </w:rPr>
                  <m:t>i</m:t>
                </m:r>
              </m:e>
              <m:sub>
                <m:r>
                  <m:rPr>
                    <m:sty m:val="p"/>
                  </m:rPr>
                  <w:rPr>
                    <w:rFonts w:ascii="Cambria Math" w:eastAsia="Calibri" w:hAnsi="Arial" w:cs="Arial"/>
                    <w:sz w:val="24"/>
                    <w:szCs w:val="24"/>
                  </w:rPr>
                  <m:t>min</m:t>
                </m:r>
              </m:sub>
            </m:sSub>
          </m:sub>
          <m:sup>
            <m:r>
              <m:rPr>
                <m:sty m:val="p"/>
              </m:rPr>
              <w:rPr>
                <w:rFonts w:ascii="Cambria Math" w:eastAsia="Calibri" w:hAnsi="Arial" w:cs="Arial" w:hint="eastAsia"/>
                <w:sz w:val="24"/>
                <w:szCs w:val="24"/>
              </w:rPr>
              <m:t>в</m:t>
            </m:r>
          </m:sup>
        </m:sSubSup>
      </m:oMath>
      <w:r w:rsidR="001915B9" w:rsidRPr="001915B9">
        <w:rPr>
          <w:rFonts w:ascii="Arial" w:eastAsia="Calibri" w:hAnsi="Arial" w:cs="Arial"/>
          <w:sz w:val="24"/>
          <w:szCs w:val="24"/>
        </w:rPr>
        <w:t xml:space="preserve"> - минимально допустимая температура воздуха в помещениях i-го здания потребителя, ºС.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- среднее время до восстановления участков тепловой сети k -го диаметра после отказа: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  <w:szCs w:val="24"/>
        </w:rPr>
      </w:pPr>
    </w:p>
    <w:tbl>
      <w:tblPr>
        <w:tblStyle w:val="1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16"/>
        <w:gridCol w:w="1628"/>
      </w:tblGrid>
      <w:tr w:rsidR="001915B9" w:rsidRPr="001915B9" w:rsidTr="003A23D2">
        <w:trPr>
          <w:jc w:val="center"/>
        </w:trPr>
        <w:tc>
          <w:tcPr>
            <w:tcW w:w="7016" w:type="dxa"/>
            <w:vAlign w:val="center"/>
          </w:tcPr>
          <w:p w:rsidR="001915B9" w:rsidRPr="001915B9" w:rsidRDefault="001915B9" w:rsidP="001915B9">
            <w:pPr>
              <w:spacing w:line="360" w:lineRule="auto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1915B9">
              <w:rPr>
                <w:rFonts w:ascii="Arial" w:eastAsia="Calibri" w:hAnsi="Arial" w:cs="Arial"/>
                <w:noProof/>
                <w:szCs w:val="24"/>
                <w:lang w:eastAsia="ru-RU"/>
              </w:rPr>
              <w:lastRenderedPageBreak/>
              <w:drawing>
                <wp:inline distT="0" distB="0" distL="0" distR="0" wp14:anchorId="2498D9F5" wp14:editId="16EE5057">
                  <wp:extent cx="2750690" cy="448573"/>
                  <wp:effectExtent l="19050" t="0" r="0" b="0"/>
                  <wp:docPr id="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69549" t="28727" r="17116" b="658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0711" cy="4485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8" w:type="dxa"/>
            <w:vAlign w:val="center"/>
          </w:tcPr>
          <w:p w:rsidR="001915B9" w:rsidRPr="001915B9" w:rsidRDefault="001915B9" w:rsidP="001915B9">
            <w:pPr>
              <w:spacing w:line="360" w:lineRule="auto"/>
              <w:ind w:firstLine="709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1915B9">
              <w:rPr>
                <w:rFonts w:ascii="Arial" w:eastAsia="Calibri" w:hAnsi="Arial" w:cs="Arial"/>
                <w:sz w:val="24"/>
                <w:szCs w:val="24"/>
              </w:rPr>
              <w:t>(9.1.6)</w:t>
            </w:r>
          </w:p>
        </w:tc>
      </w:tr>
    </w:tbl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  <w:szCs w:val="24"/>
        </w:rPr>
      </w:pP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где a, b, c - постоянные коэффициенты, зависящие от способа укладки теплопровода (подземный, надземный) и его конструкции, а также от способа диагностики места повреждения и уровня организации ремонтных работ;</w:t>
      </w:r>
    </w:p>
    <w:p w:rsidR="001915B9" w:rsidRPr="001915B9" w:rsidRDefault="0003140D" w:rsidP="001915B9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</w:rPr>
      </w:pPr>
      <m:oMath>
        <m:sSub>
          <m:sSubPr>
            <m:ctrlPr>
              <w:rPr>
                <w:rFonts w:ascii="Cambria Math" w:eastAsia="Calibri" w:hAnsi="Cambria Math" w:cs="Arial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L</m:t>
            </m:r>
          </m:e>
          <m:sub>
            <m:r>
              <m:rPr>
                <m:sty m:val="p"/>
              </m:rPr>
              <w:rPr>
                <w:rFonts w:ascii="Cambria Math" w:eastAsia="Calibri" w:hAnsi="Arial" w:cs="Arial"/>
                <w:sz w:val="24"/>
                <w:szCs w:val="24"/>
              </w:rPr>
              <m:t>сз</m:t>
            </m:r>
          </m:sub>
        </m:sSub>
      </m:oMath>
      <w:r w:rsidR="001915B9" w:rsidRPr="001915B9">
        <w:rPr>
          <w:rFonts w:ascii="Arial" w:eastAsia="Calibri" w:hAnsi="Arial" w:cs="Arial"/>
          <w:sz w:val="24"/>
          <w:szCs w:val="24"/>
        </w:rPr>
        <w:t xml:space="preserve"> - расстояние между секционирующими задвижками, м;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</w:rPr>
      </w:pPr>
      <w:r w:rsidRPr="001915B9">
        <w:rPr>
          <w:rFonts w:ascii="Arial" w:eastAsia="Calibri" w:hAnsi="Arial" w:cs="Arial"/>
          <w:sz w:val="24"/>
          <w:szCs w:val="24"/>
        </w:rPr>
        <w:t>dk – k - й диаметр теплопровода, м.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</w:rPr>
      </w:pPr>
      <w:r w:rsidRPr="001915B9">
        <w:rPr>
          <w:rFonts w:ascii="Arial" w:eastAsia="Calibri" w:hAnsi="Arial" w:cs="Times New Roman"/>
          <w:sz w:val="24"/>
        </w:rPr>
        <w:t>- среднее значение отключаемой расчетной мощности: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  <w:szCs w:val="24"/>
        </w:rPr>
      </w:pPr>
    </w:p>
    <w:tbl>
      <w:tblPr>
        <w:tblStyle w:val="1"/>
        <w:tblW w:w="0" w:type="auto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71"/>
        <w:gridCol w:w="1701"/>
      </w:tblGrid>
      <w:tr w:rsidR="001915B9" w:rsidRPr="001915B9" w:rsidTr="003A23D2">
        <w:trPr>
          <w:trHeight w:val="863"/>
        </w:trPr>
        <w:tc>
          <w:tcPr>
            <w:tcW w:w="7371" w:type="dxa"/>
            <w:vAlign w:val="center"/>
          </w:tcPr>
          <w:p w:rsidR="001915B9" w:rsidRPr="001915B9" w:rsidRDefault="001915B9" w:rsidP="001915B9">
            <w:pPr>
              <w:spacing w:line="360" w:lineRule="auto"/>
              <w:ind w:firstLine="709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1915B9">
              <w:rPr>
                <w:rFonts w:ascii="Arial" w:eastAsia="Calibri" w:hAnsi="Arial" w:cs="Arial"/>
                <w:noProof/>
                <w:szCs w:val="24"/>
                <w:lang w:eastAsia="ru-RU"/>
              </w:rPr>
              <w:drawing>
                <wp:inline distT="0" distB="0" distL="0" distR="0" wp14:anchorId="4F8CE642" wp14:editId="6B6A44D8">
                  <wp:extent cx="1982279" cy="629729"/>
                  <wp:effectExtent l="19050" t="0" r="0" b="0"/>
                  <wp:docPr id="7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75069" t="83594" r="17680" b="106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2279" cy="6297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915B9" w:rsidRPr="001915B9" w:rsidRDefault="001915B9" w:rsidP="001915B9">
            <w:pPr>
              <w:spacing w:line="360" w:lineRule="auto"/>
              <w:ind w:firstLine="709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1915B9">
              <w:rPr>
                <w:rFonts w:ascii="Arial" w:eastAsia="Calibri" w:hAnsi="Arial" w:cs="Arial"/>
                <w:sz w:val="24"/>
                <w:szCs w:val="24"/>
              </w:rPr>
              <w:t>(9.1.7)</w:t>
            </w:r>
          </w:p>
        </w:tc>
      </w:tr>
    </w:tbl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 xml:space="preserve">- математическое ожидание отключаемой мощности </w:t>
      </w:r>
      <m:oMath>
        <m:r>
          <w:rPr>
            <w:rFonts w:ascii="Cambria Math" w:eastAsia="Calibri" w:hAnsi="Cambria Math" w:cs="Arial"/>
            <w:sz w:val="24"/>
            <w:szCs w:val="24"/>
          </w:rPr>
          <m:t>M</m:t>
        </m:r>
        <m:r>
          <m:rPr>
            <m:sty m:val="p"/>
          </m:rPr>
          <w:rPr>
            <w:rFonts w:ascii="Cambria Math" w:eastAsia="Calibri" w:hAnsi="Cambria Math" w:cs="Arial"/>
            <w:sz w:val="24"/>
            <w:szCs w:val="24"/>
          </w:rPr>
          <m:t>∆</m:t>
        </m:r>
        <m:sSub>
          <m:sSubPr>
            <m:ctrlPr>
              <w:rPr>
                <w:rFonts w:ascii="Cambria Math" w:eastAsia="Calibri" w:hAnsi="Cambria Math" w:cs="Arial"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Arial"/>
                <w:sz w:val="24"/>
                <w:szCs w:val="24"/>
              </w:rPr>
              <m:t>Q</m:t>
            </m:r>
          </m:e>
          <m:sub>
            <m:r>
              <w:rPr>
                <w:rFonts w:ascii="Cambria Math" w:eastAsia="Calibri" w:hAnsi="Cambria Math" w:cs="Arial"/>
                <w:sz w:val="24"/>
                <w:szCs w:val="24"/>
              </w:rPr>
              <m:t>i</m:t>
            </m:r>
          </m:sub>
        </m:sSub>
      </m:oMath>
      <w:r w:rsidRPr="001915B9">
        <w:rPr>
          <w:rFonts w:ascii="Arial" w:eastAsia="Calibri" w:hAnsi="Arial" w:cs="Arial"/>
          <w:sz w:val="24"/>
          <w:szCs w:val="24"/>
        </w:rPr>
        <w:t xml:space="preserve"> учитывает вероятность перехода ТС в состояние отказа (т.е. время безотказной работы) в течение отопительного периода t:</w:t>
      </w:r>
    </w:p>
    <w:tbl>
      <w:tblPr>
        <w:tblStyle w:val="1"/>
        <w:tblW w:w="0" w:type="auto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71"/>
        <w:gridCol w:w="1786"/>
      </w:tblGrid>
      <w:tr w:rsidR="001915B9" w:rsidRPr="001915B9" w:rsidTr="003A23D2">
        <w:tc>
          <w:tcPr>
            <w:tcW w:w="7371" w:type="dxa"/>
            <w:vAlign w:val="center"/>
          </w:tcPr>
          <w:p w:rsidR="001915B9" w:rsidRPr="001915B9" w:rsidRDefault="001915B9" w:rsidP="001915B9">
            <w:pPr>
              <w:spacing w:line="360" w:lineRule="auto"/>
              <w:ind w:firstLine="709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1915B9">
              <w:rPr>
                <w:rFonts w:ascii="Arial" w:eastAsia="Calibri" w:hAnsi="Arial" w:cs="Arial"/>
                <w:noProof/>
                <w:szCs w:val="24"/>
                <w:lang w:eastAsia="ru-RU"/>
              </w:rPr>
              <w:drawing>
                <wp:inline distT="0" distB="0" distL="0" distR="0" wp14:anchorId="66E00E9F" wp14:editId="3C9DE937">
                  <wp:extent cx="2360745" cy="569343"/>
                  <wp:effectExtent l="19050" t="0" r="1455" b="0"/>
                  <wp:docPr id="8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 l="73035" t="34809" r="15942" b="585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0745" cy="5693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86" w:type="dxa"/>
            <w:vAlign w:val="center"/>
          </w:tcPr>
          <w:p w:rsidR="001915B9" w:rsidRPr="001915B9" w:rsidRDefault="001915B9" w:rsidP="001915B9">
            <w:pPr>
              <w:spacing w:line="360" w:lineRule="auto"/>
              <w:ind w:firstLine="709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1915B9">
              <w:rPr>
                <w:rFonts w:ascii="Arial" w:eastAsia="Calibri" w:hAnsi="Arial" w:cs="Arial"/>
                <w:sz w:val="24"/>
                <w:szCs w:val="24"/>
              </w:rPr>
              <w:t>(9.1.8)</w:t>
            </w:r>
          </w:p>
        </w:tc>
      </w:tr>
    </w:tbl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- интегральный показатель надежности - вероятность безотказной работы тепловой сети:</w:t>
      </w:r>
    </w:p>
    <w:tbl>
      <w:tblPr>
        <w:tblStyle w:val="1"/>
        <w:tblW w:w="0" w:type="auto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71"/>
        <w:gridCol w:w="1786"/>
      </w:tblGrid>
      <w:tr w:rsidR="001915B9" w:rsidRPr="001915B9" w:rsidTr="003A23D2">
        <w:tc>
          <w:tcPr>
            <w:tcW w:w="7371" w:type="dxa"/>
            <w:vAlign w:val="center"/>
          </w:tcPr>
          <w:p w:rsidR="001915B9" w:rsidRPr="001915B9" w:rsidRDefault="001915B9" w:rsidP="001915B9">
            <w:pPr>
              <w:spacing w:line="360" w:lineRule="auto"/>
              <w:ind w:firstLine="709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1915B9">
              <w:rPr>
                <w:rFonts w:ascii="Arial" w:eastAsia="Calibri" w:hAnsi="Arial" w:cs="Arial"/>
                <w:noProof/>
                <w:szCs w:val="24"/>
                <w:lang w:eastAsia="ru-RU"/>
              </w:rPr>
              <w:drawing>
                <wp:inline distT="0" distB="0" distL="0" distR="0" wp14:anchorId="1108BBB3" wp14:editId="171577E7">
                  <wp:extent cx="2112847" cy="767751"/>
                  <wp:effectExtent l="19050" t="0" r="1703" b="0"/>
                  <wp:docPr id="9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 l="74488" t="48000" r="17250" b="443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2847" cy="7677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86" w:type="dxa"/>
            <w:vAlign w:val="center"/>
          </w:tcPr>
          <w:p w:rsidR="001915B9" w:rsidRPr="001915B9" w:rsidRDefault="001915B9" w:rsidP="001915B9">
            <w:pPr>
              <w:spacing w:line="360" w:lineRule="auto"/>
              <w:ind w:firstLine="709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1915B9">
              <w:rPr>
                <w:rFonts w:ascii="Arial" w:eastAsia="Calibri" w:hAnsi="Arial" w:cs="Arial"/>
                <w:sz w:val="24"/>
                <w:szCs w:val="24"/>
              </w:rPr>
              <w:t>(9.1.9)</w:t>
            </w:r>
          </w:p>
        </w:tc>
      </w:tr>
    </w:tbl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- среднее значение вероятности отказа ТС в отопительном периоде t: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</w:p>
    <w:tbl>
      <w:tblPr>
        <w:tblStyle w:val="1"/>
        <w:tblW w:w="0" w:type="auto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71"/>
        <w:gridCol w:w="1919"/>
      </w:tblGrid>
      <w:tr w:rsidR="001915B9" w:rsidRPr="001915B9" w:rsidTr="003A23D2">
        <w:tc>
          <w:tcPr>
            <w:tcW w:w="7371" w:type="dxa"/>
            <w:vAlign w:val="center"/>
          </w:tcPr>
          <w:p w:rsidR="001915B9" w:rsidRPr="001915B9" w:rsidRDefault="001915B9" w:rsidP="001915B9">
            <w:pPr>
              <w:spacing w:line="360" w:lineRule="auto"/>
              <w:ind w:firstLine="709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1915B9">
              <w:rPr>
                <w:rFonts w:ascii="Arial" w:eastAsia="Calibri" w:hAnsi="Arial" w:cs="Arial"/>
                <w:noProof/>
                <w:szCs w:val="24"/>
                <w:lang w:eastAsia="ru-RU"/>
              </w:rPr>
              <w:drawing>
                <wp:inline distT="0" distB="0" distL="0" distR="0" wp14:anchorId="2DA5A366" wp14:editId="467A48A9">
                  <wp:extent cx="1939146" cy="504358"/>
                  <wp:effectExtent l="19050" t="0" r="3954" b="0"/>
                  <wp:docPr id="10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 l="74924" t="63636" r="17827" b="316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9146" cy="5043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9" w:type="dxa"/>
            <w:vAlign w:val="center"/>
          </w:tcPr>
          <w:p w:rsidR="001915B9" w:rsidRPr="001915B9" w:rsidRDefault="001915B9" w:rsidP="001915B9">
            <w:pPr>
              <w:spacing w:line="360" w:lineRule="auto"/>
              <w:ind w:firstLine="709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1915B9">
              <w:rPr>
                <w:rFonts w:ascii="Arial" w:eastAsia="Calibri" w:hAnsi="Arial" w:cs="Arial"/>
                <w:sz w:val="24"/>
                <w:szCs w:val="24"/>
              </w:rPr>
              <w:t>(9.1.10)</w:t>
            </w:r>
          </w:p>
        </w:tc>
      </w:tr>
    </w:tbl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 xml:space="preserve">Кроме того, существующее состояние надежности теплоснабжения потребителей города Октябрьский, оценивается количеством аварийных </w:t>
      </w:r>
      <w:r w:rsidRPr="001915B9">
        <w:rPr>
          <w:rFonts w:ascii="Arial" w:eastAsia="Calibri" w:hAnsi="Arial" w:cs="Arial"/>
          <w:sz w:val="24"/>
          <w:szCs w:val="24"/>
        </w:rPr>
        <w:lastRenderedPageBreak/>
        <w:t>отключений и временем восстановления теплоснабжения после аварийных отключений.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 xml:space="preserve">При проведении анализа аварийных отключений и времени восстановления теплоснабжения потребителей после аварийных отключений </w:t>
      </w:r>
      <w:r>
        <w:rPr>
          <w:rFonts w:ascii="Arial" w:eastAsia="Calibri" w:hAnsi="Arial" w:cs="Arial"/>
          <w:sz w:val="24"/>
          <w:szCs w:val="24"/>
        </w:rPr>
        <w:t>должны использоваться</w:t>
      </w:r>
      <w:r w:rsidRPr="001915B9">
        <w:rPr>
          <w:rFonts w:ascii="Arial" w:eastAsia="Calibri" w:hAnsi="Arial" w:cs="Arial"/>
          <w:sz w:val="24"/>
          <w:szCs w:val="24"/>
        </w:rPr>
        <w:t xml:space="preserve"> следующие законодательные и нормативные документы: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- Федеральный Закон от 21.07.97 г. № 116–ФЗ «О промышленной безопасности опасных производственных объектов» (с изменениями на 27 июля 2010 года);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- ГОСТ Р 22.0.05-94 «Безопасность в чрезвычайных ситуациях. Техногенные чрезвычайные ситуации. Термины и определения»;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- МДК 4-01.2001 «Методические рекомендации по техническому расследованию и учету технологических нарушений в системах коммунального энергоснабжения и работе энергетических организаций жилищно-коммунального комплекса» (Утверждены приказом Госстроя России от 20.08.01 № 191) [4];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- Постановление Правительства Российской Федерации от 12 февраля 1999 года № 167 «Об утверждении Правил пользования системами коммунального водоснабжения и канализации в Российской Федерации (с изменениями на 23 мая 2006 года)».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В соответствии с утвержденной в этих документах терминологией, в зависимости от характера и тяжести последствий технологических нарушений в системах теплоснабжения, при проведении анализа используются определения, приведенные в перечне терминов, используемых в работе.</w:t>
      </w:r>
    </w:p>
    <w:p w:rsidR="00361350" w:rsidRDefault="00361350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</w:p>
    <w:p w:rsidR="00361350" w:rsidRPr="001915B9" w:rsidRDefault="00361350" w:rsidP="00361350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В соответствии с этим действующим документом, авариями в коммунальных отопительных котельных считаются:</w:t>
      </w:r>
    </w:p>
    <w:p w:rsidR="00361350" w:rsidRPr="001915B9" w:rsidRDefault="00361350" w:rsidP="00361350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- разрушения (повреждения) зданий, сооружений, паровых и водогрейных котлов, трубопроводов пара и горячей воды, взрывы и воспламенения газа в топках и газоходах котлов, вызвавшие их разрушение, а также разрушения газопроводов и газового оборудования, взрывы в топках котлов, работающих на твердом и жидком топливе, вызвавшие остановку их на ремонт;</w:t>
      </w:r>
    </w:p>
    <w:p w:rsidR="00361350" w:rsidRPr="001915B9" w:rsidRDefault="00361350" w:rsidP="00361350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- повреждение котла (вывод его из эксплуатации во внеплановый ремонт), если объем работ по восстановлению составляет не менее объема капитального ремонта;</w:t>
      </w:r>
    </w:p>
    <w:p w:rsidR="00361350" w:rsidRPr="001915B9" w:rsidRDefault="00361350" w:rsidP="00361350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lastRenderedPageBreak/>
        <w:t>- повреждение насосов, подогревателей, вызвавших вынужденный останов котла (котлов), приведший к снижению общего отпуска тепла более чем на 50% продолжительностью свыше 16 часов.</w:t>
      </w:r>
    </w:p>
    <w:p w:rsidR="00361350" w:rsidRPr="00B603FF" w:rsidRDefault="00361350" w:rsidP="00B603FF">
      <w:pPr>
        <w:ind w:firstLine="708"/>
        <w:rPr>
          <w:rFonts w:ascii="Arial" w:hAnsi="Arial" w:cs="Arial"/>
          <w:sz w:val="24"/>
          <w:szCs w:val="24"/>
        </w:rPr>
      </w:pPr>
      <w:r w:rsidRPr="00B603FF">
        <w:rPr>
          <w:rFonts w:ascii="Arial" w:hAnsi="Arial" w:cs="Arial"/>
          <w:sz w:val="24"/>
          <w:szCs w:val="24"/>
        </w:rPr>
        <w:t>Технологическими отказами в коммунальных отопительных котельных считаются:</w:t>
      </w:r>
    </w:p>
    <w:p w:rsidR="00361350" w:rsidRPr="001915B9" w:rsidRDefault="00361350" w:rsidP="00361350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- неисправность котла с выводом его из эксплуатации на внеплановый ремонт, если объем работ по восстановлению его работоспособности составляет не менее объема текущего ремонта;</w:t>
      </w:r>
    </w:p>
    <w:p w:rsidR="00361350" w:rsidRPr="001915B9" w:rsidRDefault="00361350" w:rsidP="00361350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- неисправность насосов, подогревателей, другого вспомогательного оборудования, вызвавших вынужденный останов котла (котлов), приведший к общему снижению отпуска тепла более чем на 30, но не более 50% продолжительностью менее 16 часов;</w:t>
      </w:r>
    </w:p>
    <w:p w:rsidR="00361350" w:rsidRPr="001915B9" w:rsidRDefault="00361350" w:rsidP="00361350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- останов источника тепла из-за прекращения по вине эксплуатационного персонала подачи воды, топлива или электроэнергии при температуре наружного воздуха до -10 °С - более 8 часов; от -10 °С до -15 °С - более 4 часов; ниже -15 °С - более 2 часов.</w:t>
      </w:r>
    </w:p>
    <w:p w:rsidR="00361350" w:rsidRPr="001915B9" w:rsidRDefault="00361350" w:rsidP="00361350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Функциональными отказами в коммунальных отопительных котельных считаются нарушения режима, не вызвавшие аварий и технологических отказов.</w:t>
      </w:r>
    </w:p>
    <w:p w:rsidR="00361350" w:rsidRPr="001915B9" w:rsidRDefault="00361350" w:rsidP="00361350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Не относится к инцидентам вывод из работы оборудования по оперативной заявке для устранения мелких дефектов и неисправностей (замена прокладок и набивок, замена крепежных деталей, замена мелкой арматуры, регулировка устройств автоматики и т.п.), выявленных при осмотрах при условии, что вывод оборудования не привел к отключениям или ограничениям потребителей.</w:t>
      </w:r>
    </w:p>
    <w:p w:rsidR="00361350" w:rsidRPr="001915B9" w:rsidRDefault="00361350" w:rsidP="00B603FF">
      <w:pPr>
        <w:ind w:firstLine="708"/>
        <w:rPr>
          <w:rFonts w:ascii="Arial" w:hAnsi="Arial" w:cs="Arial"/>
          <w:sz w:val="24"/>
          <w:szCs w:val="24"/>
        </w:rPr>
      </w:pPr>
      <w:r w:rsidRPr="001915B9">
        <w:rPr>
          <w:rFonts w:ascii="Arial" w:hAnsi="Arial" w:cs="Arial"/>
          <w:sz w:val="24"/>
          <w:szCs w:val="24"/>
        </w:rPr>
        <w:t>Авариями в тепловых сетях считаются:</w:t>
      </w:r>
    </w:p>
    <w:p w:rsidR="00361350" w:rsidRPr="001915B9" w:rsidRDefault="00361350" w:rsidP="00361350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- разрушение (повреждение) зданий, сооружений, трубопроводов тепловой сети в период отопительного периода при отрицательной среднесуточной температуре наружного воздуха, восстановление работоспособности которых продолжается более 36 часов;</w:t>
      </w:r>
    </w:p>
    <w:p w:rsidR="00361350" w:rsidRPr="001915B9" w:rsidRDefault="00361350" w:rsidP="00361350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- повреждение трубопроводов тепловой сети, оборудования насосных станций, тепловых пунктов, вызвавшее перерыв теплоснабжения потребителей I категории (по отоплению) на срок более 8 часов, прекращение теплоснабжения или общее снижение более чем на 50% отпуска тепловой энергии потребителям продолжительностью выше 16 часов.</w:t>
      </w:r>
    </w:p>
    <w:p w:rsidR="00361350" w:rsidRPr="001915B9" w:rsidRDefault="00361350" w:rsidP="00B603FF">
      <w:pPr>
        <w:ind w:firstLine="708"/>
        <w:rPr>
          <w:rFonts w:ascii="Arial" w:hAnsi="Arial" w:cs="Arial"/>
          <w:sz w:val="24"/>
          <w:szCs w:val="24"/>
        </w:rPr>
      </w:pPr>
      <w:r w:rsidRPr="001915B9">
        <w:rPr>
          <w:rFonts w:ascii="Arial" w:hAnsi="Arial" w:cs="Arial"/>
          <w:sz w:val="24"/>
          <w:szCs w:val="24"/>
        </w:rPr>
        <w:t>Технологическими отказами в тепловых сетях считаются:</w:t>
      </w:r>
    </w:p>
    <w:p w:rsidR="00361350" w:rsidRPr="001915B9" w:rsidRDefault="00361350" w:rsidP="00361350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lastRenderedPageBreak/>
        <w:t>- неисправности трубопроводов тепловой сети, оборудования насосных станций, тепловых пунктов, поиск утечек, вызвавшие перерыв в подаче тепла потребителям I категории (по отоплению) свыше 4 до 8 часов, прекращение теплоснабжения (отопления) объектов соцкультбыта на срок, превышающий условия п. 4.16.1. ГОСТ Р 51617-2000 "Жилищно-коммунальные услуги. Общие технические условия" (допустимая длительность температуры воздуха в помещении не ниже 12 °С - не более 16 часов; не ниже 10 °С - не более 8 часов; не ниже 8 °С - не более 4 часов).</w:t>
      </w:r>
    </w:p>
    <w:p w:rsidR="00361350" w:rsidRPr="001915B9" w:rsidRDefault="00361350" w:rsidP="00361350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Функциональными отказами в тепловых сетях считаются нарушения режима, не вызвавшие аварий и технологических отказов, а также отключение горячего водоснабжения, осуществляемое для сохранения режима отпуска тепла на отопление при ограничениях в подаче топлива, электро- и водоснабжении.</w:t>
      </w:r>
    </w:p>
    <w:p w:rsidR="00361350" w:rsidRPr="001915B9" w:rsidRDefault="00361350" w:rsidP="00361350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Инцидентами не являются повреждения трубопроводов и оборудования, выявленные во время испытаний, проводимых в неотопительный период.</w:t>
      </w:r>
    </w:p>
    <w:p w:rsidR="00361350" w:rsidRPr="001915B9" w:rsidRDefault="00361350" w:rsidP="00361350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Не являются инцидентами потребительские отключения, к которым относятся отключения теплопровода и системы теплопотребления объектов, находящихся на балансе потребителя, если оно произошло не по вине персонала теплоснабжающей организации.</w:t>
      </w:r>
    </w:p>
    <w:p w:rsidR="00361350" w:rsidRDefault="00361350" w:rsidP="00361350">
      <w:pPr>
        <w:rPr>
          <w:rFonts w:ascii="Arial" w:eastAsiaTheme="majorEastAsia" w:hAnsi="Arial" w:cstheme="majorBidi"/>
          <w:b/>
          <w:sz w:val="28"/>
          <w:szCs w:val="26"/>
        </w:rPr>
      </w:pPr>
    </w:p>
    <w:p w:rsidR="001915B9" w:rsidRPr="001915B9" w:rsidRDefault="001915B9" w:rsidP="00B603FF">
      <w:pPr>
        <w:pStyle w:val="21"/>
      </w:pPr>
      <w:bookmarkStart w:id="5" w:name="_Toc434511420"/>
      <w:r w:rsidRPr="001915B9">
        <w:t>9.2 Анализ аварийных отключений потребителей</w:t>
      </w:r>
      <w:bookmarkEnd w:id="5"/>
    </w:p>
    <w:p w:rsidR="00361350" w:rsidRDefault="00361350" w:rsidP="00361350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>В связи с тем, что данные по технологическим нарушениям в работе систем</w:t>
      </w:r>
      <w:r>
        <w:rPr>
          <w:rFonts w:ascii="Arial" w:eastAsia="Calibri" w:hAnsi="Arial" w:cs="Arial"/>
          <w:sz w:val="24"/>
          <w:szCs w:val="24"/>
        </w:rPr>
        <w:t>; теплоснабжения</w:t>
      </w:r>
      <w:r w:rsidRPr="001915B9">
        <w:rPr>
          <w:rFonts w:ascii="Arial" w:eastAsia="Calibri" w:hAnsi="Arial" w:cs="Arial"/>
          <w:sz w:val="24"/>
          <w:szCs w:val="24"/>
        </w:rPr>
        <w:t xml:space="preserve"> и эксплуатирующих их организаций на момент выполнения работы</w:t>
      </w:r>
      <w:r>
        <w:rPr>
          <w:rFonts w:ascii="Arial" w:eastAsia="Calibri" w:hAnsi="Arial" w:cs="Arial"/>
          <w:sz w:val="24"/>
          <w:szCs w:val="24"/>
        </w:rPr>
        <w:t xml:space="preserve"> по организациям муниципального образования «Город Глазов» Удмуртской Республики не выявлены, а по сведениям МУП «Глазовские теплосети» аварийных отключений в тепловых сетях города в последние годы зафиксировано не было.</w:t>
      </w:r>
    </w:p>
    <w:p w:rsidR="001915B9" w:rsidRPr="001915B9" w:rsidRDefault="001915B9" w:rsidP="001915B9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 w:rsidRPr="001915B9">
        <w:rPr>
          <w:rFonts w:ascii="Arial" w:eastAsia="Calibri" w:hAnsi="Arial" w:cs="Arial"/>
          <w:sz w:val="24"/>
          <w:szCs w:val="24"/>
        </w:rPr>
        <w:t xml:space="preserve">На момент выполнения работы данные о технологических нарушениях в работе систем теплоснабжения, аварийным отключениям и времени восстановления теплоснабжения потребителей после аварийных отключений за период с 2007 по 2012 год другими организациями, производящими и поставляющими тепловую энергию в городе </w:t>
      </w:r>
      <w:r w:rsidR="00361350">
        <w:rPr>
          <w:rFonts w:ascii="Arial" w:eastAsia="Calibri" w:hAnsi="Arial" w:cs="Arial"/>
          <w:sz w:val="24"/>
          <w:szCs w:val="24"/>
        </w:rPr>
        <w:t xml:space="preserve">Глазове </w:t>
      </w:r>
      <w:r w:rsidRPr="001915B9">
        <w:rPr>
          <w:rFonts w:ascii="Arial" w:eastAsia="Calibri" w:hAnsi="Arial" w:cs="Arial"/>
          <w:sz w:val="24"/>
          <w:szCs w:val="24"/>
        </w:rPr>
        <w:t>не представлены.</w:t>
      </w:r>
    </w:p>
    <w:p w:rsidR="001915B9" w:rsidRDefault="001915B9"/>
    <w:p w:rsidR="001915B9" w:rsidRDefault="001915B9">
      <w:r>
        <w:br w:type="page"/>
      </w:r>
    </w:p>
    <w:p w:rsidR="001915B9" w:rsidRPr="00361350" w:rsidRDefault="001915B9">
      <w:pPr>
        <w:rPr>
          <w:rFonts w:ascii="Arial" w:eastAsiaTheme="majorEastAsia" w:hAnsi="Arial" w:cstheme="majorBidi"/>
          <w:b/>
          <w:sz w:val="28"/>
          <w:szCs w:val="26"/>
        </w:rPr>
      </w:pPr>
    </w:p>
    <w:p w:rsidR="00BE7579" w:rsidRPr="00361350" w:rsidRDefault="00361350" w:rsidP="00361350">
      <w:pPr>
        <w:pStyle w:val="21"/>
      </w:pPr>
      <w:bookmarkStart w:id="6" w:name="_Toc434511421"/>
      <w:r w:rsidRPr="00361350">
        <w:t xml:space="preserve">9.3. </w:t>
      </w:r>
      <w:r w:rsidR="00BE7579" w:rsidRPr="00361350">
        <w:t>Решения о перераспределении тепловой нагрузки между источниками тепловой энергии</w:t>
      </w:r>
      <w:bookmarkEnd w:id="6"/>
      <w:r w:rsidR="00BE7579" w:rsidRPr="00361350">
        <w:t xml:space="preserve"> </w:t>
      </w:r>
    </w:p>
    <w:p w:rsidR="00361350" w:rsidRDefault="00361350" w:rsidP="00AC1F99">
      <w:pPr>
        <w:spacing w:after="0" w:line="36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361350" w:rsidRDefault="00361350" w:rsidP="00361350">
      <w:pPr>
        <w:spacing w:after="0" w:line="360" w:lineRule="auto"/>
        <w:ind w:firstLine="709"/>
        <w:jc w:val="both"/>
        <w:rPr>
          <w:rFonts w:ascii="Arial" w:eastAsia="Calibri" w:hAnsi="Arial" w:cs="Arial"/>
          <w:sz w:val="24"/>
          <w:szCs w:val="24"/>
        </w:rPr>
      </w:pPr>
      <w:r>
        <w:rPr>
          <w:rFonts w:ascii="Arial" w:eastAsia="Calibri" w:hAnsi="Arial" w:cs="Arial"/>
          <w:sz w:val="24"/>
          <w:szCs w:val="24"/>
        </w:rPr>
        <w:t>Решение о перераспределении нагрузок между источниками теплоснабжения муниципального образования</w:t>
      </w:r>
      <w:r w:rsidRPr="001915B9">
        <w:rPr>
          <w:rFonts w:ascii="Arial" w:eastAsia="Calibri" w:hAnsi="Arial" w:cs="Arial"/>
          <w:sz w:val="24"/>
          <w:szCs w:val="24"/>
        </w:rPr>
        <w:t xml:space="preserve"> </w:t>
      </w:r>
      <w:r>
        <w:rPr>
          <w:rFonts w:ascii="Arial" w:eastAsia="Calibri" w:hAnsi="Arial" w:cs="Arial"/>
          <w:sz w:val="24"/>
          <w:szCs w:val="24"/>
        </w:rPr>
        <w:t>«Город Глазов» Удмуртской Республики принималось в соответствии с показате</w:t>
      </w:r>
      <w:r w:rsidR="00B603FF">
        <w:rPr>
          <w:rFonts w:ascii="Arial" w:eastAsia="Calibri" w:hAnsi="Arial" w:cs="Arial"/>
          <w:sz w:val="24"/>
          <w:szCs w:val="24"/>
        </w:rPr>
        <w:t>лями, приведенными в таблице 9.1</w:t>
      </w:r>
      <w:r>
        <w:rPr>
          <w:rFonts w:ascii="Arial" w:eastAsia="Calibri" w:hAnsi="Arial" w:cs="Arial"/>
          <w:sz w:val="24"/>
          <w:szCs w:val="24"/>
        </w:rPr>
        <w:t>.</w:t>
      </w:r>
    </w:p>
    <w:p w:rsidR="00BE7579" w:rsidRPr="00AC1F99" w:rsidRDefault="00BE7579" w:rsidP="00AC1F99">
      <w:pPr>
        <w:spacing w:after="0" w:line="36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AC1F9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Таблица </w:t>
      </w:r>
      <w:r w:rsidR="0036135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9.</w:t>
      </w:r>
      <w:r w:rsidR="00B603F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</w:t>
      </w:r>
      <w:r w:rsidRPr="00AC1F9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– Решения о перераспределении тепловой нагрузки между источниками тепловой энергии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558"/>
        <w:gridCol w:w="1200"/>
        <w:gridCol w:w="596"/>
        <w:gridCol w:w="558"/>
        <w:gridCol w:w="809"/>
        <w:gridCol w:w="1719"/>
        <w:gridCol w:w="1719"/>
        <w:gridCol w:w="1412"/>
      </w:tblGrid>
      <w:tr w:rsidR="00BE7579" w:rsidRPr="00E90ACF" w:rsidTr="003A23D2">
        <w:trPr>
          <w:cantSplit/>
          <w:trHeight w:val="20"/>
          <w:tblHeader/>
        </w:trPr>
        <w:tc>
          <w:tcPr>
            <w:tcW w:w="11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79" w:rsidRPr="00E90ACF" w:rsidRDefault="00BE7579" w:rsidP="00AC1F99">
            <w:pPr>
              <w:pStyle w:val="a3"/>
            </w:pPr>
            <w:r w:rsidRPr="00E90ACF">
              <w:t>Описание переключения</w:t>
            </w:r>
          </w:p>
        </w:tc>
        <w:tc>
          <w:tcPr>
            <w:tcW w:w="1539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79" w:rsidRPr="00E90ACF" w:rsidRDefault="00BE7579" w:rsidP="00AC1F99">
            <w:pPr>
              <w:pStyle w:val="a3"/>
            </w:pPr>
            <w:r w:rsidRPr="00E90ACF">
              <w:t>Тепловая нагрузка, Гкал/ч</w:t>
            </w:r>
          </w:p>
        </w:tc>
        <w:tc>
          <w:tcPr>
            <w:tcW w:w="83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79" w:rsidRPr="00E90ACF" w:rsidRDefault="00BE7579" w:rsidP="00AC1F99">
            <w:pPr>
              <w:pStyle w:val="a3"/>
            </w:pPr>
            <w:r w:rsidRPr="00E90ACF">
              <w:t>Существующий источник теплоснабжения</w:t>
            </w:r>
          </w:p>
        </w:tc>
        <w:tc>
          <w:tcPr>
            <w:tcW w:w="83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79" w:rsidRPr="00E90ACF" w:rsidRDefault="00BE7579" w:rsidP="00AC1F99">
            <w:pPr>
              <w:pStyle w:val="a3"/>
            </w:pPr>
            <w:r w:rsidRPr="00E90ACF">
              <w:t>Перспективный источник теплоснабжения</w:t>
            </w:r>
          </w:p>
        </w:tc>
        <w:tc>
          <w:tcPr>
            <w:tcW w:w="67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79" w:rsidRPr="00E90ACF" w:rsidRDefault="00BE7579" w:rsidP="00AC1F99">
            <w:pPr>
              <w:pStyle w:val="a3"/>
            </w:pPr>
            <w:r w:rsidRPr="00E90ACF">
              <w:t>Год реализации мероприятия</w:t>
            </w:r>
          </w:p>
        </w:tc>
      </w:tr>
      <w:tr w:rsidR="00BE7579" w:rsidRPr="00E90ACF" w:rsidTr="003A23D2">
        <w:trPr>
          <w:cantSplit/>
          <w:trHeight w:val="20"/>
          <w:tblHeader/>
        </w:trPr>
        <w:tc>
          <w:tcPr>
            <w:tcW w:w="11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79" w:rsidRPr="00E90ACF" w:rsidRDefault="00BE7579" w:rsidP="00AC1F99">
            <w:pPr>
              <w:pStyle w:val="a3"/>
            </w:pP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79" w:rsidRPr="00E90ACF" w:rsidRDefault="00BE7579" w:rsidP="00AC1F99">
            <w:pPr>
              <w:pStyle w:val="a3"/>
            </w:pPr>
            <w:r w:rsidRPr="00E90ACF">
              <w:t>Отопление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79" w:rsidRPr="00E90ACF" w:rsidRDefault="00BE7579" w:rsidP="00AC1F99">
            <w:pPr>
              <w:pStyle w:val="a3"/>
            </w:pPr>
            <w:r w:rsidRPr="00E90ACF">
              <w:t>ГВС (ср.)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79" w:rsidRPr="00E90ACF" w:rsidRDefault="00BE7579" w:rsidP="00AC1F99">
            <w:pPr>
              <w:pStyle w:val="a3"/>
            </w:pPr>
            <w:r w:rsidRPr="00E90ACF">
              <w:t>Пар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79" w:rsidRPr="00E90ACF" w:rsidRDefault="00BE7579" w:rsidP="00AC1F99">
            <w:pPr>
              <w:pStyle w:val="a3"/>
            </w:pPr>
            <w:r w:rsidRPr="00E90ACF">
              <w:t>Сумма</w:t>
            </w:r>
          </w:p>
        </w:tc>
        <w:tc>
          <w:tcPr>
            <w:tcW w:w="8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79" w:rsidRPr="00E90ACF" w:rsidRDefault="00BE7579" w:rsidP="00AC1F99">
            <w:pPr>
              <w:pStyle w:val="a3"/>
            </w:pPr>
          </w:p>
        </w:tc>
        <w:tc>
          <w:tcPr>
            <w:tcW w:w="8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79" w:rsidRPr="00E90ACF" w:rsidRDefault="00BE7579" w:rsidP="00AC1F99">
            <w:pPr>
              <w:pStyle w:val="a3"/>
            </w:pPr>
          </w:p>
        </w:tc>
        <w:tc>
          <w:tcPr>
            <w:tcW w:w="67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79" w:rsidRPr="00E90ACF" w:rsidRDefault="00BE7579" w:rsidP="00AC1F99">
            <w:pPr>
              <w:pStyle w:val="a3"/>
            </w:pPr>
          </w:p>
        </w:tc>
      </w:tr>
      <w:tr w:rsidR="00BE7579" w:rsidRPr="00E90ACF" w:rsidTr="003A23D2">
        <w:trPr>
          <w:cantSplit/>
          <w:trHeight w:val="20"/>
        </w:trPr>
        <w:tc>
          <w:tcPr>
            <w:tcW w:w="111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7579" w:rsidRPr="00E90ACF" w:rsidRDefault="00BE7579" w:rsidP="00AC1F99">
            <w:pPr>
              <w:pStyle w:val="a3"/>
            </w:pPr>
            <w:r w:rsidRPr="00E90ACF">
              <w:t>Переключение тепловой нагрузки с котельной №2 на ТЭЦ ЧМЗ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7579" w:rsidRPr="00E90ACF" w:rsidRDefault="00BE7579" w:rsidP="00AC1F99">
            <w:pPr>
              <w:pStyle w:val="a3"/>
            </w:pPr>
            <w:r w:rsidRPr="00E90ACF">
              <w:t>6,62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7579" w:rsidRPr="00E90ACF" w:rsidRDefault="00BE7579" w:rsidP="00AC1F99">
            <w:pPr>
              <w:pStyle w:val="a3"/>
            </w:pPr>
            <w:r w:rsidRPr="00E90ACF">
              <w:t>1,28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7579" w:rsidRPr="00E90ACF" w:rsidRDefault="00BE7579" w:rsidP="00AC1F99">
            <w:pPr>
              <w:pStyle w:val="a3"/>
            </w:pPr>
            <w:r w:rsidRPr="00E90ACF">
              <w:t>0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7579" w:rsidRPr="00E90ACF" w:rsidRDefault="00BE7579" w:rsidP="00AC1F99">
            <w:pPr>
              <w:pStyle w:val="a3"/>
            </w:pPr>
            <w:r w:rsidRPr="00E90ACF">
              <w:t>7,90</w:t>
            </w:r>
          </w:p>
        </w:tc>
        <w:tc>
          <w:tcPr>
            <w:tcW w:w="8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7579" w:rsidRPr="00E90ACF" w:rsidRDefault="00BE7579" w:rsidP="00AC1F99">
            <w:pPr>
              <w:pStyle w:val="a3"/>
            </w:pPr>
            <w:r w:rsidRPr="00E90ACF">
              <w:t>Котельная №2</w:t>
            </w:r>
          </w:p>
        </w:tc>
        <w:tc>
          <w:tcPr>
            <w:tcW w:w="8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7579" w:rsidRPr="00E90ACF" w:rsidRDefault="00BE7579" w:rsidP="00AC1F99">
            <w:pPr>
              <w:pStyle w:val="a3"/>
            </w:pPr>
            <w:r w:rsidRPr="00E90ACF">
              <w:t>ТЭЦ ЧМЗ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7579" w:rsidRPr="00E90ACF" w:rsidRDefault="00BE7579" w:rsidP="00AC1F99">
            <w:pPr>
              <w:pStyle w:val="a3"/>
            </w:pPr>
            <w:r w:rsidRPr="00E90ACF">
              <w:t>2019</w:t>
            </w:r>
          </w:p>
        </w:tc>
      </w:tr>
      <w:tr w:rsidR="00BE7579" w:rsidRPr="00E90ACF" w:rsidTr="003A23D2">
        <w:trPr>
          <w:cantSplit/>
          <w:trHeight w:val="20"/>
        </w:trPr>
        <w:tc>
          <w:tcPr>
            <w:tcW w:w="111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E7579" w:rsidRPr="00E90ACF" w:rsidRDefault="00BE7579" w:rsidP="00AC1F99">
            <w:pPr>
              <w:pStyle w:val="a3"/>
            </w:pPr>
            <w:r w:rsidRPr="00E90ACF">
              <w:t>Переключение тепловой нагрузки с котельной №3 на ТЭЦ ЧМЗ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79" w:rsidRPr="00E90ACF" w:rsidRDefault="00BE7579" w:rsidP="00AC1F99">
            <w:pPr>
              <w:pStyle w:val="a3"/>
            </w:pPr>
            <w:r w:rsidRPr="00E90ACF">
              <w:t>9,18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79" w:rsidRPr="00E90ACF" w:rsidRDefault="00BE7579" w:rsidP="00AC1F99">
            <w:pPr>
              <w:pStyle w:val="a3"/>
            </w:pPr>
            <w:r w:rsidRPr="00E90ACF">
              <w:t>0,80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79" w:rsidRPr="00E90ACF" w:rsidRDefault="00BE7579" w:rsidP="00AC1F99">
            <w:pPr>
              <w:pStyle w:val="a3"/>
            </w:pPr>
            <w:r w:rsidRPr="00E90ACF">
              <w:t>0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79" w:rsidRPr="00E90ACF" w:rsidRDefault="00BE7579" w:rsidP="00AC1F99">
            <w:pPr>
              <w:pStyle w:val="a3"/>
            </w:pPr>
            <w:r w:rsidRPr="00E90ACF">
              <w:t>9,98</w:t>
            </w:r>
          </w:p>
        </w:tc>
        <w:tc>
          <w:tcPr>
            <w:tcW w:w="8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79" w:rsidRPr="00E90ACF" w:rsidRDefault="00BE7579" w:rsidP="00AC1F99">
            <w:pPr>
              <w:pStyle w:val="a3"/>
            </w:pPr>
            <w:r w:rsidRPr="00E90ACF">
              <w:t>Котельная №3</w:t>
            </w:r>
          </w:p>
        </w:tc>
        <w:tc>
          <w:tcPr>
            <w:tcW w:w="8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79" w:rsidRPr="00E90ACF" w:rsidRDefault="00BE7579" w:rsidP="00AC1F99">
            <w:pPr>
              <w:pStyle w:val="a3"/>
            </w:pPr>
            <w:r w:rsidRPr="00E90ACF">
              <w:t>ТЭЦ ЧМЗ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79" w:rsidRPr="00E90ACF" w:rsidRDefault="00BE7579" w:rsidP="00AC1F99">
            <w:pPr>
              <w:pStyle w:val="a3"/>
            </w:pPr>
            <w:r w:rsidRPr="00E90ACF">
              <w:t>2018</w:t>
            </w:r>
          </w:p>
        </w:tc>
      </w:tr>
      <w:tr w:rsidR="00BE7579" w:rsidRPr="00E90ACF" w:rsidTr="003A23D2">
        <w:trPr>
          <w:cantSplit/>
          <w:trHeight w:val="20"/>
        </w:trPr>
        <w:tc>
          <w:tcPr>
            <w:tcW w:w="111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7579" w:rsidRPr="00E90ACF" w:rsidRDefault="00BE7579" w:rsidP="00AC1F99">
            <w:pPr>
              <w:pStyle w:val="a3"/>
            </w:pPr>
            <w:r w:rsidRPr="00E90ACF">
              <w:t>Переключение тепловой нагрузки с котельной Реммаш на ТЭЦ ЧМЗ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7579" w:rsidRPr="00E90ACF" w:rsidRDefault="00BE7579" w:rsidP="00AC1F99">
            <w:pPr>
              <w:pStyle w:val="a3"/>
            </w:pPr>
            <w:r w:rsidRPr="00E90ACF">
              <w:t>6,11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7579" w:rsidRPr="00E90ACF" w:rsidRDefault="00BE7579" w:rsidP="00AC1F99">
            <w:pPr>
              <w:pStyle w:val="a3"/>
            </w:pPr>
            <w:r w:rsidRPr="00E90ACF">
              <w:t>0,74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7579" w:rsidRPr="00E90ACF" w:rsidRDefault="00BE7579" w:rsidP="00AC1F99">
            <w:pPr>
              <w:pStyle w:val="a3"/>
            </w:pPr>
            <w:r w:rsidRPr="00E90ACF">
              <w:t>0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7579" w:rsidRPr="00E90ACF" w:rsidRDefault="00BE7579" w:rsidP="00AC1F99">
            <w:pPr>
              <w:pStyle w:val="a3"/>
            </w:pPr>
            <w:r w:rsidRPr="00E90ACF">
              <w:t>6,85</w:t>
            </w:r>
          </w:p>
        </w:tc>
        <w:tc>
          <w:tcPr>
            <w:tcW w:w="8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7579" w:rsidRPr="00E90ACF" w:rsidRDefault="00BE7579" w:rsidP="00AC1F99">
            <w:pPr>
              <w:pStyle w:val="a3"/>
            </w:pPr>
            <w:r w:rsidRPr="00E90ACF">
              <w:t>Котельная Реммаш</w:t>
            </w:r>
          </w:p>
        </w:tc>
        <w:tc>
          <w:tcPr>
            <w:tcW w:w="8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7579" w:rsidRPr="00E90ACF" w:rsidRDefault="00BE7579" w:rsidP="00AC1F99">
            <w:pPr>
              <w:pStyle w:val="a3"/>
            </w:pPr>
            <w:r w:rsidRPr="00E90ACF">
              <w:t>ТЭЦ ЧМЗ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7579" w:rsidRPr="00E90ACF" w:rsidRDefault="00BE7579" w:rsidP="00AC1F99">
            <w:pPr>
              <w:pStyle w:val="a3"/>
            </w:pPr>
            <w:r w:rsidRPr="00E90ACF">
              <w:t>2021</w:t>
            </w:r>
          </w:p>
        </w:tc>
      </w:tr>
    </w:tbl>
    <w:p w:rsidR="00116C66" w:rsidRDefault="00116C66" w:rsidP="00116C66">
      <w:pPr>
        <w:spacing w:after="0" w:line="36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116C66" w:rsidRDefault="00116C66" w:rsidP="00116C66">
      <w:pPr>
        <w:spacing w:after="0" w:line="36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sectPr w:rsidR="00116C66">
          <w:footerReference w:type="default" r:id="rId13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16C66" w:rsidRDefault="00116C66" w:rsidP="00116C66">
      <w:pPr>
        <w:spacing w:after="0" w:line="36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116C66" w:rsidRPr="00116C66" w:rsidRDefault="00116C66" w:rsidP="00116C66">
      <w:pPr>
        <w:spacing w:after="0" w:line="36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116C6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Таблица </w:t>
      </w:r>
      <w:r w:rsidR="00B603F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9.2</w:t>
      </w:r>
      <w:r w:rsidRPr="00116C6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– </w:t>
      </w:r>
      <w:r w:rsidRPr="00116C66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Уровень резервирования тепловой мощности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37"/>
        <w:gridCol w:w="4729"/>
        <w:gridCol w:w="826"/>
        <w:gridCol w:w="552"/>
        <w:gridCol w:w="552"/>
        <w:gridCol w:w="552"/>
        <w:gridCol w:w="552"/>
        <w:gridCol w:w="552"/>
        <w:gridCol w:w="552"/>
        <w:gridCol w:w="706"/>
        <w:gridCol w:w="706"/>
        <w:gridCol w:w="706"/>
      </w:tblGrid>
      <w:tr w:rsidR="00116C66" w:rsidRPr="00116C66" w:rsidTr="003A23D2">
        <w:trPr>
          <w:tblHeader/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Источник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Параметр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Ед. Изм.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2017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2018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0" w:type="auto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0" w:type="auto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2026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2031</w:t>
            </w:r>
          </w:p>
        </w:tc>
      </w:tr>
      <w:tr w:rsidR="00116C66" w:rsidRPr="00116C66" w:rsidTr="003A23D2">
        <w:trPr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ТЭЦ ЧМЗ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 xml:space="preserve">Установленная тепловая мощность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697,0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697,0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697,0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697,0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697,0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697,0</w:t>
            </w:r>
          </w:p>
        </w:tc>
        <w:tc>
          <w:tcPr>
            <w:tcW w:w="0" w:type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697,0</w:t>
            </w:r>
          </w:p>
        </w:tc>
        <w:tc>
          <w:tcPr>
            <w:tcW w:w="0" w:type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693,8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573,3</w:t>
            </w:r>
          </w:p>
        </w:tc>
      </w:tr>
      <w:tr w:rsidR="00116C66" w:rsidRPr="00116C66" w:rsidTr="003A23D2">
        <w:trPr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 xml:space="preserve">Резерв (+)/дефицит(-) тепловой мощности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116,3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161,9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162,5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146,8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137,4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137,9</w:t>
            </w:r>
          </w:p>
        </w:tc>
        <w:tc>
          <w:tcPr>
            <w:tcW w:w="0" w:type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124,5</w:t>
            </w:r>
          </w:p>
        </w:tc>
        <w:tc>
          <w:tcPr>
            <w:tcW w:w="0" w:type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161,1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114,4</w:t>
            </w:r>
          </w:p>
        </w:tc>
      </w:tr>
      <w:tr w:rsidR="00116C66" w:rsidRPr="00116C66" w:rsidTr="003A23D2">
        <w:trPr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 xml:space="preserve">Аварийный резерв (+)/дефицит(-) тепловой мощности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87,8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133,4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134,0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111,3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111,9</w:t>
            </w:r>
          </w:p>
        </w:tc>
        <w:tc>
          <w:tcPr>
            <w:tcW w:w="0" w:type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99,7</w:t>
            </w:r>
          </w:p>
        </w:tc>
        <w:tc>
          <w:tcPr>
            <w:tcW w:w="0" w:type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137,1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81,0</w:t>
            </w:r>
          </w:p>
        </w:tc>
      </w:tr>
      <w:tr w:rsidR="00116C66" w:rsidRPr="00116C66" w:rsidTr="003A23D2">
        <w:trPr>
          <w:jc w:val="center"/>
        </w:trPr>
        <w:tc>
          <w:tcPr>
            <w:tcW w:w="0" w:type="auto"/>
            <w:vMerge w:val="restart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 xml:space="preserve">Установленная тепловая мощность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23,8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23,8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23,8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23,8</w:t>
            </w:r>
          </w:p>
        </w:tc>
        <w:tc>
          <w:tcPr>
            <w:tcW w:w="0" w:type="auto"/>
            <w:gridSpan w:val="5"/>
            <w:vMerge w:val="restart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Вывод из эксплуатации</w:t>
            </w:r>
          </w:p>
        </w:tc>
      </w:tr>
      <w:tr w:rsidR="00116C66" w:rsidRPr="00116C66" w:rsidTr="003A23D2">
        <w:trPr>
          <w:jc w:val="center"/>
        </w:trPr>
        <w:tc>
          <w:tcPr>
            <w:tcW w:w="0" w:type="auto"/>
            <w:vMerge/>
            <w:shd w:val="clear" w:color="auto" w:fill="auto"/>
            <w:noWrap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 xml:space="preserve">Резерв (+)/дефицит(-) тепловой мощности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0,8</w:t>
            </w:r>
          </w:p>
        </w:tc>
        <w:tc>
          <w:tcPr>
            <w:tcW w:w="0" w:type="auto"/>
            <w:gridSpan w:val="5"/>
            <w:vMerge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</w:p>
        </w:tc>
      </w:tr>
      <w:tr w:rsidR="00116C66" w:rsidRPr="00116C66" w:rsidTr="003A23D2">
        <w:trPr>
          <w:jc w:val="center"/>
        </w:trPr>
        <w:tc>
          <w:tcPr>
            <w:tcW w:w="0" w:type="auto"/>
            <w:vMerge/>
            <w:shd w:val="clear" w:color="auto" w:fill="auto"/>
            <w:noWrap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 xml:space="preserve">Аварийный резерв (+)/дефицит(-) тепловой мощности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-4,2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-4,2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-4,2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-4,8</w:t>
            </w:r>
          </w:p>
        </w:tc>
        <w:tc>
          <w:tcPr>
            <w:tcW w:w="0" w:type="auto"/>
            <w:gridSpan w:val="5"/>
            <w:vMerge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</w:p>
        </w:tc>
      </w:tr>
      <w:tr w:rsidR="00116C66" w:rsidRPr="00116C66" w:rsidTr="003A23D2">
        <w:trPr>
          <w:jc w:val="center"/>
        </w:trPr>
        <w:tc>
          <w:tcPr>
            <w:tcW w:w="0" w:type="auto"/>
            <w:vMerge w:val="restart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 xml:space="preserve">Установленная тепловая мощность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27,0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27,0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27,0</w:t>
            </w:r>
          </w:p>
        </w:tc>
        <w:tc>
          <w:tcPr>
            <w:tcW w:w="0" w:type="auto"/>
            <w:gridSpan w:val="6"/>
            <w:vMerge w:val="restart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Вывод из эксплуатации</w:t>
            </w:r>
          </w:p>
        </w:tc>
      </w:tr>
      <w:tr w:rsidR="00116C66" w:rsidRPr="00116C66" w:rsidTr="003A23D2">
        <w:trPr>
          <w:jc w:val="center"/>
        </w:trPr>
        <w:tc>
          <w:tcPr>
            <w:tcW w:w="0" w:type="auto"/>
            <w:vMerge/>
            <w:shd w:val="clear" w:color="auto" w:fill="auto"/>
            <w:noWrap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 xml:space="preserve">Резерв (+)/дефицит(-) тепловой мощности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15,1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15,2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15,2</w:t>
            </w:r>
          </w:p>
        </w:tc>
        <w:tc>
          <w:tcPr>
            <w:tcW w:w="0" w:type="auto"/>
            <w:gridSpan w:val="6"/>
            <w:vMerge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</w:p>
        </w:tc>
      </w:tr>
      <w:tr w:rsidR="00116C66" w:rsidRPr="00116C66" w:rsidTr="003A23D2">
        <w:trPr>
          <w:jc w:val="center"/>
        </w:trPr>
        <w:tc>
          <w:tcPr>
            <w:tcW w:w="0" w:type="auto"/>
            <w:vMerge/>
            <w:shd w:val="clear" w:color="auto" w:fill="auto"/>
            <w:noWrap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 xml:space="preserve">Аварийный резерв (+)/дефицит(-) тепловой мощности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11,7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11,8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11,8</w:t>
            </w:r>
          </w:p>
        </w:tc>
        <w:tc>
          <w:tcPr>
            <w:tcW w:w="0" w:type="auto"/>
            <w:gridSpan w:val="6"/>
            <w:vMerge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</w:p>
        </w:tc>
      </w:tr>
      <w:tr w:rsidR="00116C66" w:rsidRPr="00116C66" w:rsidTr="003A23D2">
        <w:trPr>
          <w:jc w:val="center"/>
        </w:trPr>
        <w:tc>
          <w:tcPr>
            <w:tcW w:w="0" w:type="auto"/>
            <w:vMerge w:val="restart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Реммаш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 xml:space="preserve">Установленная тепловая мощность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24,0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24,0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24,0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24,0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24,0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24,0</w:t>
            </w:r>
          </w:p>
        </w:tc>
        <w:tc>
          <w:tcPr>
            <w:tcW w:w="0" w:type="auto"/>
            <w:gridSpan w:val="3"/>
            <w:vMerge w:val="restart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Вывод из эксплуатации</w:t>
            </w:r>
          </w:p>
        </w:tc>
      </w:tr>
      <w:tr w:rsidR="00116C66" w:rsidRPr="00116C66" w:rsidTr="003A23D2">
        <w:trPr>
          <w:jc w:val="center"/>
        </w:trPr>
        <w:tc>
          <w:tcPr>
            <w:tcW w:w="0" w:type="auto"/>
            <w:vMerge/>
            <w:shd w:val="clear" w:color="auto" w:fill="auto"/>
            <w:noWrap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 xml:space="preserve">Резерв (+)/дефицит(-) тепловой мощности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16,5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16,5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16,6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16,3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16,3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16,3</w:t>
            </w:r>
          </w:p>
        </w:tc>
        <w:tc>
          <w:tcPr>
            <w:tcW w:w="0" w:type="auto"/>
            <w:gridSpan w:val="3"/>
            <w:vMerge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</w:p>
        </w:tc>
      </w:tr>
      <w:tr w:rsidR="00116C66" w:rsidRPr="00116C66" w:rsidTr="003A23D2">
        <w:trPr>
          <w:jc w:val="center"/>
        </w:trPr>
        <w:tc>
          <w:tcPr>
            <w:tcW w:w="0" w:type="auto"/>
            <w:vMerge/>
            <w:shd w:val="clear" w:color="auto" w:fill="auto"/>
            <w:noWrap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 xml:space="preserve">Аварийный резерв (+)/дефицит(-) тепловой мощности 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10,8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10,8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10,8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116C66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10,6</w:t>
            </w:r>
          </w:p>
        </w:tc>
        <w:tc>
          <w:tcPr>
            <w:tcW w:w="0" w:type="auto"/>
            <w:gridSpan w:val="3"/>
            <w:vMerge/>
            <w:vAlign w:val="center"/>
          </w:tcPr>
          <w:p w:rsidR="00116C66" w:rsidRPr="00116C66" w:rsidRDefault="00116C66" w:rsidP="00116C66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</w:p>
        </w:tc>
      </w:tr>
    </w:tbl>
    <w:p w:rsidR="00BE7579" w:rsidRPr="00E90ACF" w:rsidRDefault="00BE7579" w:rsidP="00BE7579">
      <w:pPr>
        <w:spacing w:after="200" w:line="276" w:lineRule="auto"/>
        <w:rPr>
          <w:rFonts w:ascii="Times New Roman" w:eastAsia="Times New Roman" w:hAnsi="Times New Roman" w:cs="Times New Roman"/>
          <w:b/>
          <w:bCs/>
          <w:kern w:val="2"/>
          <w:szCs w:val="24"/>
          <w:highlight w:val="yellow"/>
          <w:lang w:eastAsia="ar-SA"/>
        </w:rPr>
      </w:pPr>
    </w:p>
    <w:p w:rsidR="00116C66" w:rsidRDefault="00116C66">
      <w:pPr>
        <w:sectPr w:rsidR="00116C66" w:rsidSect="00116C66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AC1F99" w:rsidRDefault="002F00D6" w:rsidP="00AC1F99">
      <w:pPr>
        <w:pStyle w:val="21"/>
      </w:pPr>
      <w:bookmarkStart w:id="7" w:name="_Toc434511422"/>
      <w:r>
        <w:lastRenderedPageBreak/>
        <w:t xml:space="preserve">9.4 </w:t>
      </w:r>
      <w:r w:rsidR="00AC1F99">
        <w:t>Предложения по строительству и реконструкции тепловых сетей для повышения эффективности и надежности теплоснабжения</w:t>
      </w:r>
      <w:bookmarkEnd w:id="7"/>
    </w:p>
    <w:p w:rsidR="00AC1F99" w:rsidRDefault="00AC1F99" w:rsidP="00AC1F99">
      <w:pPr>
        <w:pStyle w:val="3"/>
      </w:pPr>
    </w:p>
    <w:p w:rsidR="00AC1F99" w:rsidRDefault="00AC1F99" w:rsidP="00AC1F99">
      <w:pPr>
        <w:pStyle w:val="3"/>
      </w:pPr>
      <w:r>
        <w:t>С целью повышения эффективности функционирования системы теплоснабжения предусматривается вывод из эксплуатации котельных № 2, 3 и РЕММАШ с переключением их потребителей на тепловые сети от ТЭЦ, Для обеспечения указанных переключений требуется строительство следующих тепломагистралей:</w:t>
      </w:r>
    </w:p>
    <w:p w:rsidR="00AC1F99" w:rsidRDefault="00AC1F99" w:rsidP="00AC1F99">
      <w:pPr>
        <w:pStyle w:val="12"/>
        <w:numPr>
          <w:ilvl w:val="0"/>
          <w:numId w:val="2"/>
        </w:numPr>
        <w:ind w:left="0" w:firstLine="709"/>
      </w:pPr>
      <w:r>
        <w:t>От Уз-911 до ТК-1612 суммарной протяженностью 1,7 км диаметром 300 мм – для передачи нагрузки котельной ООО «КомЭнерго» на ТЭЦ ЧМЗ.</w:t>
      </w:r>
    </w:p>
    <w:p w:rsidR="00AC1F99" w:rsidRDefault="00AC1F99" w:rsidP="00AC1F99">
      <w:pPr>
        <w:pStyle w:val="12"/>
        <w:numPr>
          <w:ilvl w:val="0"/>
          <w:numId w:val="2"/>
        </w:numPr>
        <w:ind w:left="0" w:firstLine="709"/>
      </w:pPr>
      <w:r>
        <w:t>От Уз-344 до Уз-1000 суммарной протяженностью 2,8 км диаметром 250 мм – для теплоснабжения потребителей котельной МУП "Глазовские теплосети" от ТЭЦ ЧМЗ.</w:t>
      </w:r>
    </w:p>
    <w:p w:rsidR="00AC1F99" w:rsidRDefault="00AC1F99" w:rsidP="00AC1F99">
      <w:pPr>
        <w:pStyle w:val="12"/>
        <w:numPr>
          <w:ilvl w:val="0"/>
          <w:numId w:val="2"/>
        </w:numPr>
        <w:ind w:left="0" w:firstLine="709"/>
      </w:pPr>
      <w:r>
        <w:t>От ТК-805 до Уз-1173а суммарной протяженностью 2,8 км диаметром 350 мм – для теплоснабжения потребителей котельных МУП "Глазовские теплосети" и  ОАО "Реммаш" от ТЭЦ ЧМЗ.</w:t>
      </w:r>
    </w:p>
    <w:p w:rsidR="00AC1F99" w:rsidRDefault="00AC1F99" w:rsidP="00AC1F99">
      <w:pPr>
        <w:pStyle w:val="12"/>
        <w:numPr>
          <w:ilvl w:val="0"/>
          <w:numId w:val="2"/>
        </w:numPr>
        <w:ind w:left="0" w:firstLine="709"/>
      </w:pPr>
      <w:r>
        <w:t>От Уз-1173а до ТК-1066 суммарной протяженностью 1 км диаметром 250 мм – для теплоснабжения потребителей котельной ОАО "Реммаш" от ТЭЦ ЧМЗ.</w:t>
      </w:r>
    </w:p>
    <w:p w:rsidR="00BE7579" w:rsidRDefault="00BE7579"/>
    <w:p w:rsidR="00AC1F99" w:rsidRDefault="00AC1F99"/>
    <w:p w:rsidR="00AC1F99" w:rsidRDefault="00AC1F99"/>
    <w:p w:rsidR="00AC1F99" w:rsidRDefault="002F00D6" w:rsidP="00AC1F99">
      <w:pPr>
        <w:pStyle w:val="21"/>
      </w:pPr>
      <w:bookmarkStart w:id="8" w:name="_Toc434511423"/>
      <w:r>
        <w:t xml:space="preserve">9.5 </w:t>
      </w:r>
      <w:r w:rsidR="00AC1F99">
        <w:t>Предложения по строительству тепловых сетей для обеспечения нормативной надежности теплоснабжения</w:t>
      </w:r>
      <w:bookmarkEnd w:id="8"/>
    </w:p>
    <w:p w:rsidR="00AC1F99" w:rsidRDefault="00AC1F99" w:rsidP="00AC1F99">
      <w:pPr>
        <w:pStyle w:val="3"/>
      </w:pPr>
      <w:r>
        <w:t>Нормативная надежность системы теплоснабжения обеспечивается наличием на магистральных тепловых сетях закольцованных трубопроводов с большим количеством перемычек.</w:t>
      </w:r>
    </w:p>
    <w:p w:rsidR="00AC1F99" w:rsidRDefault="00AC1F99" w:rsidP="00AC1F99">
      <w:pPr>
        <w:pStyle w:val="3"/>
      </w:pPr>
      <w:r>
        <w:t xml:space="preserve">Предусмотренные в п. </w:t>
      </w:r>
      <w:r w:rsidR="002F00D6">
        <w:t>9</w:t>
      </w:r>
      <w:r>
        <w:t>.4. новые магистральные связи между котельными повышают надежность системы, за счет обеспечения возможности аварийной переброски тепловой мощности.</w:t>
      </w:r>
    </w:p>
    <w:p w:rsidR="00AC1F99" w:rsidRDefault="00AC1F99" w:rsidP="00AC1F99">
      <w:pPr>
        <w:pStyle w:val="3"/>
      </w:pPr>
      <w:r>
        <w:t>Строительство дополнительных сетей не требуется.</w:t>
      </w:r>
    </w:p>
    <w:p w:rsidR="00AC1F99" w:rsidRDefault="00AC1F99" w:rsidP="00AC1F99">
      <w:pPr>
        <w:pStyle w:val="3"/>
      </w:pPr>
    </w:p>
    <w:p w:rsidR="00961808" w:rsidRPr="00961808" w:rsidRDefault="00961808" w:rsidP="00961808">
      <w:pPr>
        <w:tabs>
          <w:tab w:val="num" w:pos="432"/>
        </w:tabs>
        <w:spacing w:after="0" w:line="360" w:lineRule="auto"/>
        <w:ind w:firstLine="709"/>
        <w:jc w:val="both"/>
        <w:outlineLvl w:val="0"/>
        <w:rPr>
          <w:rFonts w:ascii="Arial" w:eastAsia="Times New Roman" w:hAnsi="Arial" w:cs="Arial"/>
          <w:b/>
          <w:bCs/>
          <w:kern w:val="2"/>
          <w:sz w:val="28"/>
          <w:szCs w:val="32"/>
          <w:lang w:eastAsia="ar-SA"/>
        </w:rPr>
      </w:pPr>
      <w:bookmarkStart w:id="9" w:name="_Toc325704786"/>
      <w:bookmarkStart w:id="10" w:name="_Toc326741616"/>
      <w:bookmarkStart w:id="11" w:name="_Toc434511424"/>
      <w:r w:rsidRPr="00961808">
        <w:rPr>
          <w:rFonts w:ascii="Arial" w:eastAsia="Times New Roman" w:hAnsi="Arial" w:cs="Arial"/>
          <w:b/>
          <w:bCs/>
          <w:kern w:val="2"/>
          <w:sz w:val="28"/>
          <w:szCs w:val="32"/>
          <w:lang w:eastAsia="ar-SA"/>
        </w:rPr>
        <w:lastRenderedPageBreak/>
        <w:t>СПИСОК ИСПОЛЬЗОВАННЫХ ИСТОЧНИКОВ</w:t>
      </w:r>
      <w:bookmarkEnd w:id="9"/>
      <w:bookmarkEnd w:id="10"/>
      <w:bookmarkEnd w:id="11"/>
    </w:p>
    <w:p w:rsidR="00961808" w:rsidRPr="00961808" w:rsidRDefault="00961808" w:rsidP="00961808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</w:rPr>
      </w:pPr>
      <w:r w:rsidRPr="00961808">
        <w:rPr>
          <w:rFonts w:ascii="Arial" w:eastAsia="Calibri" w:hAnsi="Arial" w:cs="Times New Roman"/>
          <w:sz w:val="24"/>
        </w:rPr>
        <w:t>1. ГОСТ Р 53480 – 2009 «Надежность в технике. Термины и определения».</w:t>
      </w:r>
    </w:p>
    <w:p w:rsidR="00961808" w:rsidRPr="00961808" w:rsidRDefault="00961808" w:rsidP="00961808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</w:rPr>
      </w:pPr>
      <w:r w:rsidRPr="00961808">
        <w:rPr>
          <w:rFonts w:ascii="Arial" w:eastAsia="Calibri" w:hAnsi="Arial" w:cs="Times New Roman"/>
          <w:sz w:val="24"/>
        </w:rPr>
        <w:t>2. СНиП 41-02-2003 «Тепловые сети».</w:t>
      </w:r>
    </w:p>
    <w:p w:rsidR="00961808" w:rsidRPr="00961808" w:rsidRDefault="00961808" w:rsidP="00961808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</w:rPr>
      </w:pPr>
      <w:r w:rsidRPr="00961808">
        <w:rPr>
          <w:rFonts w:ascii="Arial" w:eastAsia="Calibri" w:hAnsi="Arial" w:cs="Times New Roman"/>
          <w:sz w:val="24"/>
        </w:rPr>
        <w:t>3. МДС 41-6.2000 «Организационно-методические рекомендации по подготовке к проведению отопительного периода и повышению надежности систем коммунального теплоснабжения в городах и населенных пунктах РФ.</w:t>
      </w:r>
    </w:p>
    <w:p w:rsidR="00961808" w:rsidRPr="00961808" w:rsidRDefault="00961808" w:rsidP="00961808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</w:rPr>
      </w:pPr>
      <w:r w:rsidRPr="00961808">
        <w:rPr>
          <w:rFonts w:ascii="Arial" w:eastAsia="Calibri" w:hAnsi="Arial" w:cs="Times New Roman"/>
          <w:sz w:val="24"/>
        </w:rPr>
        <w:t>4. МДК 4-01.2001 «Методические рекомендации по техническому расследованию и учету технологических нарушений в системах коммунального энергоснабжения и работе энергетических организаций жилищно-коммунального комплекса». Приказ Министра Госстроя России от 20.08.01 № 191.</w:t>
      </w:r>
    </w:p>
    <w:p w:rsidR="00961808" w:rsidRPr="00961808" w:rsidRDefault="00961808" w:rsidP="00961808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</w:rPr>
      </w:pPr>
      <w:r w:rsidRPr="00961808">
        <w:rPr>
          <w:rFonts w:ascii="Arial" w:eastAsia="Calibri" w:hAnsi="Arial" w:cs="Times New Roman"/>
          <w:sz w:val="24"/>
        </w:rPr>
        <w:t>5. «Методические рекомендации по определению технического состояния систем теплоснабжения, горячего водоснабжения, холодного водоснабжения и водоотведения». Приказ заместителя Министра регионального развития РФ 25.04.2012 г.</w:t>
      </w:r>
    </w:p>
    <w:p w:rsidR="00961808" w:rsidRPr="00961808" w:rsidRDefault="00961808" w:rsidP="00961808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</w:rPr>
      </w:pPr>
      <w:r w:rsidRPr="00961808">
        <w:rPr>
          <w:rFonts w:ascii="Arial" w:eastAsia="Calibri" w:hAnsi="Arial" w:cs="Times New Roman"/>
          <w:sz w:val="24"/>
        </w:rPr>
        <w:t>6. Надежность систем энергетики и их оборудования: Справочное издание в 4 т. Т. 4 Надежность систем теплоснабжения под ред. Сенновой Е.В. Институт систем энергетики им. Л.А. Мелентьева СО РАН. 2000 г.</w:t>
      </w:r>
    </w:p>
    <w:p w:rsidR="00961808" w:rsidRPr="00961808" w:rsidRDefault="00961808" w:rsidP="00961808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</w:rPr>
      </w:pPr>
      <w:r w:rsidRPr="00961808">
        <w:rPr>
          <w:rFonts w:ascii="Arial" w:eastAsia="Calibri" w:hAnsi="Arial" w:cs="Times New Roman"/>
          <w:sz w:val="24"/>
        </w:rPr>
        <w:t>7. Федеральный закон от 27 июля 2010 года № 190-ФЗ «О теплоснабжении».</w:t>
      </w:r>
    </w:p>
    <w:p w:rsidR="00961808" w:rsidRPr="00961808" w:rsidRDefault="00961808" w:rsidP="00961808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</w:rPr>
      </w:pPr>
      <w:r w:rsidRPr="00961808">
        <w:rPr>
          <w:rFonts w:ascii="Arial" w:eastAsia="Calibri" w:hAnsi="Arial" w:cs="Times New Roman"/>
          <w:sz w:val="24"/>
        </w:rPr>
        <w:t>8. Постановление Правительства Российской Федерации от 22 февраля 2012 г. № 154 «О требованиях к схемам теплоснабжения, порядку их разработки и утверждения».</w:t>
      </w:r>
    </w:p>
    <w:p w:rsidR="00961808" w:rsidRPr="00961808" w:rsidRDefault="00961808" w:rsidP="00961808">
      <w:pPr>
        <w:spacing w:after="0" w:line="360" w:lineRule="auto"/>
        <w:ind w:firstLine="709"/>
        <w:jc w:val="both"/>
        <w:rPr>
          <w:rFonts w:ascii="Arial" w:eastAsia="Calibri" w:hAnsi="Arial" w:cs="Times New Roman"/>
          <w:sz w:val="24"/>
        </w:rPr>
      </w:pPr>
      <w:r w:rsidRPr="00961808">
        <w:rPr>
          <w:rFonts w:ascii="Arial" w:eastAsia="Calibri" w:hAnsi="Arial" w:cs="Times New Roman"/>
          <w:sz w:val="24"/>
        </w:rPr>
        <w:t>9. Совместный приказ Минэнерго России и Минрегион  России от 29 декабря 2012 г. № 565/667 "Об утверждении методических рекомендаций по разработке схем теплоснабжения".</w:t>
      </w:r>
    </w:p>
    <w:p w:rsidR="00AC1F99" w:rsidRDefault="00AC1F99"/>
    <w:sectPr w:rsidR="00AC1F9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3140D" w:rsidRDefault="0003140D" w:rsidP="002F00D6">
      <w:pPr>
        <w:spacing w:after="0" w:line="240" w:lineRule="auto"/>
      </w:pPr>
      <w:r>
        <w:separator/>
      </w:r>
    </w:p>
  </w:endnote>
  <w:endnote w:type="continuationSeparator" w:id="0">
    <w:p w:rsidR="0003140D" w:rsidRDefault="0003140D" w:rsidP="002F00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10664304"/>
      <w:docPartObj>
        <w:docPartGallery w:val="Page Numbers (Bottom of Page)"/>
        <w:docPartUnique/>
      </w:docPartObj>
    </w:sdtPr>
    <w:sdtEndPr/>
    <w:sdtContent>
      <w:p w:rsidR="002F00D6" w:rsidRDefault="002F00D6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B6E34">
          <w:rPr>
            <w:noProof/>
          </w:rPr>
          <w:t>2</w:t>
        </w:r>
        <w:r>
          <w:fldChar w:fldCharType="end"/>
        </w:r>
      </w:p>
    </w:sdtContent>
  </w:sdt>
  <w:p w:rsidR="002F00D6" w:rsidRDefault="002F00D6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3140D" w:rsidRDefault="0003140D" w:rsidP="002F00D6">
      <w:pPr>
        <w:spacing w:after="0" w:line="240" w:lineRule="auto"/>
      </w:pPr>
      <w:r>
        <w:separator/>
      </w:r>
    </w:p>
  </w:footnote>
  <w:footnote w:type="continuationSeparator" w:id="0">
    <w:p w:rsidR="0003140D" w:rsidRDefault="0003140D" w:rsidP="002F00D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B93882"/>
    <w:multiLevelType w:val="hybridMultilevel"/>
    <w:tmpl w:val="A5AE6DA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78B92924"/>
    <w:multiLevelType w:val="hybridMultilevel"/>
    <w:tmpl w:val="026EB7BC"/>
    <w:lvl w:ilvl="0" w:tplc="79505B4C">
      <w:start w:val="1"/>
      <w:numFmt w:val="decimal"/>
      <w:pStyle w:val="12"/>
      <w:lvlText w:val="%1."/>
      <w:lvlJc w:val="left"/>
      <w:pPr>
        <w:ind w:left="1647" w:hanging="360"/>
      </w:pPr>
    </w:lvl>
    <w:lvl w:ilvl="1" w:tplc="04190019" w:tentative="1">
      <w:start w:val="1"/>
      <w:numFmt w:val="lowerLetter"/>
      <w:lvlText w:val="%2."/>
      <w:lvlJc w:val="left"/>
      <w:pPr>
        <w:ind w:left="2367" w:hanging="360"/>
      </w:pPr>
    </w:lvl>
    <w:lvl w:ilvl="2" w:tplc="0419001B" w:tentative="1">
      <w:start w:val="1"/>
      <w:numFmt w:val="lowerRoman"/>
      <w:lvlText w:val="%3."/>
      <w:lvlJc w:val="right"/>
      <w:pPr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ind w:left="7407" w:hanging="180"/>
      </w:pPr>
    </w:lvl>
  </w:abstractNum>
  <w:num w:numId="1">
    <w:abstractNumId w:val="1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7579"/>
    <w:rsid w:val="0003140D"/>
    <w:rsid w:val="00116C66"/>
    <w:rsid w:val="001663F2"/>
    <w:rsid w:val="0017542D"/>
    <w:rsid w:val="001915B9"/>
    <w:rsid w:val="002F00D6"/>
    <w:rsid w:val="00361350"/>
    <w:rsid w:val="004B6E34"/>
    <w:rsid w:val="00777AD0"/>
    <w:rsid w:val="00845116"/>
    <w:rsid w:val="0095163C"/>
    <w:rsid w:val="00961808"/>
    <w:rsid w:val="00AB09DF"/>
    <w:rsid w:val="00AC1F99"/>
    <w:rsid w:val="00B603FF"/>
    <w:rsid w:val="00BE75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C1F9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3">
    <w:name w:val="Стиль №3"/>
    <w:basedOn w:val="a"/>
    <w:link w:val="30"/>
    <w:autoRedefine/>
    <w:qFormat/>
    <w:rsid w:val="00AC1F99"/>
    <w:pPr>
      <w:spacing w:after="0" w:line="360" w:lineRule="auto"/>
      <w:ind w:firstLine="709"/>
      <w:jc w:val="both"/>
    </w:pPr>
    <w:rPr>
      <w:rFonts w:ascii="Arial" w:hAnsi="Arial"/>
      <w:sz w:val="24"/>
    </w:rPr>
  </w:style>
  <w:style w:type="character" w:customStyle="1" w:styleId="30">
    <w:name w:val="Стиль №3 Знак"/>
    <w:basedOn w:val="a0"/>
    <w:link w:val="3"/>
    <w:rsid w:val="00AC1F99"/>
    <w:rPr>
      <w:rFonts w:ascii="Arial" w:hAnsi="Arial"/>
      <w:sz w:val="24"/>
    </w:rPr>
  </w:style>
  <w:style w:type="paragraph" w:customStyle="1" w:styleId="12">
    <w:name w:val="Стиль №12"/>
    <w:basedOn w:val="a"/>
    <w:link w:val="120"/>
    <w:qFormat/>
    <w:rsid w:val="00AC1F99"/>
    <w:pPr>
      <w:numPr>
        <w:numId w:val="1"/>
      </w:numPr>
      <w:spacing w:after="0" w:line="360" w:lineRule="auto"/>
      <w:ind w:left="0" w:firstLine="709"/>
      <w:jc w:val="both"/>
    </w:pPr>
    <w:rPr>
      <w:rFonts w:ascii="Arial" w:hAnsi="Arial"/>
      <w:sz w:val="24"/>
    </w:rPr>
  </w:style>
  <w:style w:type="character" w:customStyle="1" w:styleId="120">
    <w:name w:val="Стиль №12 Знак"/>
    <w:basedOn w:val="a0"/>
    <w:link w:val="12"/>
    <w:rsid w:val="00AC1F99"/>
    <w:rPr>
      <w:rFonts w:ascii="Arial" w:hAnsi="Arial"/>
      <w:sz w:val="24"/>
    </w:rPr>
  </w:style>
  <w:style w:type="paragraph" w:customStyle="1" w:styleId="21">
    <w:name w:val="Стиль №2+"/>
    <w:basedOn w:val="2"/>
    <w:link w:val="22"/>
    <w:qFormat/>
    <w:rsid w:val="00AC1F99"/>
    <w:pPr>
      <w:spacing w:before="120" w:after="60" w:line="360" w:lineRule="auto"/>
      <w:ind w:left="851" w:hanging="284"/>
      <w:jc w:val="both"/>
    </w:pPr>
    <w:rPr>
      <w:rFonts w:ascii="Arial" w:hAnsi="Arial"/>
      <w:b/>
      <w:color w:val="auto"/>
      <w:sz w:val="28"/>
    </w:rPr>
  </w:style>
  <w:style w:type="character" w:customStyle="1" w:styleId="22">
    <w:name w:val="Стиль №2+ Знак"/>
    <w:basedOn w:val="a0"/>
    <w:link w:val="21"/>
    <w:rsid w:val="00AC1F99"/>
    <w:rPr>
      <w:rFonts w:ascii="Arial" w:eastAsiaTheme="majorEastAsia" w:hAnsi="Arial" w:cstheme="majorBidi"/>
      <w:b/>
      <w:sz w:val="28"/>
      <w:szCs w:val="26"/>
    </w:rPr>
  </w:style>
  <w:style w:type="character" w:customStyle="1" w:styleId="20">
    <w:name w:val="Заголовок 2 Знак"/>
    <w:basedOn w:val="a0"/>
    <w:link w:val="2"/>
    <w:uiPriority w:val="9"/>
    <w:semiHidden/>
    <w:rsid w:val="00AC1F99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3">
    <w:name w:val="No Spacing"/>
    <w:uiPriority w:val="1"/>
    <w:qFormat/>
    <w:rsid w:val="00AC1F99"/>
    <w:pPr>
      <w:spacing w:after="0" w:line="240" w:lineRule="auto"/>
    </w:pPr>
  </w:style>
  <w:style w:type="table" w:customStyle="1" w:styleId="1">
    <w:name w:val="Сетка таблицы1"/>
    <w:basedOn w:val="a1"/>
    <w:next w:val="a4"/>
    <w:uiPriority w:val="59"/>
    <w:rsid w:val="001915B9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4">
    <w:name w:val="Table Grid"/>
    <w:basedOn w:val="a1"/>
    <w:uiPriority w:val="39"/>
    <w:rsid w:val="001915B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2F00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F00D6"/>
  </w:style>
  <w:style w:type="paragraph" w:styleId="a7">
    <w:name w:val="footer"/>
    <w:basedOn w:val="a"/>
    <w:link w:val="a8"/>
    <w:uiPriority w:val="99"/>
    <w:unhideWhenUsed/>
    <w:rsid w:val="002F00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F00D6"/>
  </w:style>
  <w:style w:type="paragraph" w:styleId="23">
    <w:name w:val="toc 2"/>
    <w:basedOn w:val="a"/>
    <w:next w:val="a"/>
    <w:autoRedefine/>
    <w:uiPriority w:val="39"/>
    <w:unhideWhenUsed/>
    <w:rsid w:val="00961808"/>
    <w:pPr>
      <w:spacing w:after="100"/>
      <w:ind w:left="220"/>
    </w:pPr>
  </w:style>
  <w:style w:type="paragraph" w:styleId="10">
    <w:name w:val="toc 1"/>
    <w:basedOn w:val="a"/>
    <w:next w:val="a"/>
    <w:autoRedefine/>
    <w:uiPriority w:val="39"/>
    <w:unhideWhenUsed/>
    <w:rsid w:val="00961808"/>
    <w:pPr>
      <w:spacing w:after="100"/>
    </w:pPr>
  </w:style>
  <w:style w:type="character" w:styleId="a9">
    <w:name w:val="Hyperlink"/>
    <w:basedOn w:val="a0"/>
    <w:uiPriority w:val="99"/>
    <w:unhideWhenUsed/>
    <w:rsid w:val="00961808"/>
    <w:rPr>
      <w:color w:val="0563C1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4B6E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4B6E3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C1F9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3">
    <w:name w:val="Стиль №3"/>
    <w:basedOn w:val="a"/>
    <w:link w:val="30"/>
    <w:autoRedefine/>
    <w:qFormat/>
    <w:rsid w:val="00AC1F99"/>
    <w:pPr>
      <w:spacing w:after="0" w:line="360" w:lineRule="auto"/>
      <w:ind w:firstLine="709"/>
      <w:jc w:val="both"/>
    </w:pPr>
    <w:rPr>
      <w:rFonts w:ascii="Arial" w:hAnsi="Arial"/>
      <w:sz w:val="24"/>
    </w:rPr>
  </w:style>
  <w:style w:type="character" w:customStyle="1" w:styleId="30">
    <w:name w:val="Стиль №3 Знак"/>
    <w:basedOn w:val="a0"/>
    <w:link w:val="3"/>
    <w:rsid w:val="00AC1F99"/>
    <w:rPr>
      <w:rFonts w:ascii="Arial" w:hAnsi="Arial"/>
      <w:sz w:val="24"/>
    </w:rPr>
  </w:style>
  <w:style w:type="paragraph" w:customStyle="1" w:styleId="12">
    <w:name w:val="Стиль №12"/>
    <w:basedOn w:val="a"/>
    <w:link w:val="120"/>
    <w:qFormat/>
    <w:rsid w:val="00AC1F99"/>
    <w:pPr>
      <w:numPr>
        <w:numId w:val="1"/>
      </w:numPr>
      <w:spacing w:after="0" w:line="360" w:lineRule="auto"/>
      <w:ind w:left="0" w:firstLine="709"/>
      <w:jc w:val="both"/>
    </w:pPr>
    <w:rPr>
      <w:rFonts w:ascii="Arial" w:hAnsi="Arial"/>
      <w:sz w:val="24"/>
    </w:rPr>
  </w:style>
  <w:style w:type="character" w:customStyle="1" w:styleId="120">
    <w:name w:val="Стиль №12 Знак"/>
    <w:basedOn w:val="a0"/>
    <w:link w:val="12"/>
    <w:rsid w:val="00AC1F99"/>
    <w:rPr>
      <w:rFonts w:ascii="Arial" w:hAnsi="Arial"/>
      <w:sz w:val="24"/>
    </w:rPr>
  </w:style>
  <w:style w:type="paragraph" w:customStyle="1" w:styleId="21">
    <w:name w:val="Стиль №2+"/>
    <w:basedOn w:val="2"/>
    <w:link w:val="22"/>
    <w:qFormat/>
    <w:rsid w:val="00AC1F99"/>
    <w:pPr>
      <w:spacing w:before="120" w:after="60" w:line="360" w:lineRule="auto"/>
      <w:ind w:left="851" w:hanging="284"/>
      <w:jc w:val="both"/>
    </w:pPr>
    <w:rPr>
      <w:rFonts w:ascii="Arial" w:hAnsi="Arial"/>
      <w:b/>
      <w:color w:val="auto"/>
      <w:sz w:val="28"/>
    </w:rPr>
  </w:style>
  <w:style w:type="character" w:customStyle="1" w:styleId="22">
    <w:name w:val="Стиль №2+ Знак"/>
    <w:basedOn w:val="a0"/>
    <w:link w:val="21"/>
    <w:rsid w:val="00AC1F99"/>
    <w:rPr>
      <w:rFonts w:ascii="Arial" w:eastAsiaTheme="majorEastAsia" w:hAnsi="Arial" w:cstheme="majorBidi"/>
      <w:b/>
      <w:sz w:val="28"/>
      <w:szCs w:val="26"/>
    </w:rPr>
  </w:style>
  <w:style w:type="character" w:customStyle="1" w:styleId="20">
    <w:name w:val="Заголовок 2 Знак"/>
    <w:basedOn w:val="a0"/>
    <w:link w:val="2"/>
    <w:uiPriority w:val="9"/>
    <w:semiHidden/>
    <w:rsid w:val="00AC1F99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3">
    <w:name w:val="No Spacing"/>
    <w:uiPriority w:val="1"/>
    <w:qFormat/>
    <w:rsid w:val="00AC1F99"/>
    <w:pPr>
      <w:spacing w:after="0" w:line="240" w:lineRule="auto"/>
    </w:pPr>
  </w:style>
  <w:style w:type="table" w:customStyle="1" w:styleId="1">
    <w:name w:val="Сетка таблицы1"/>
    <w:basedOn w:val="a1"/>
    <w:next w:val="a4"/>
    <w:uiPriority w:val="59"/>
    <w:rsid w:val="001915B9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4">
    <w:name w:val="Table Grid"/>
    <w:basedOn w:val="a1"/>
    <w:uiPriority w:val="39"/>
    <w:rsid w:val="001915B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2F00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F00D6"/>
  </w:style>
  <w:style w:type="paragraph" w:styleId="a7">
    <w:name w:val="footer"/>
    <w:basedOn w:val="a"/>
    <w:link w:val="a8"/>
    <w:uiPriority w:val="99"/>
    <w:unhideWhenUsed/>
    <w:rsid w:val="002F00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F00D6"/>
  </w:style>
  <w:style w:type="paragraph" w:styleId="23">
    <w:name w:val="toc 2"/>
    <w:basedOn w:val="a"/>
    <w:next w:val="a"/>
    <w:autoRedefine/>
    <w:uiPriority w:val="39"/>
    <w:unhideWhenUsed/>
    <w:rsid w:val="00961808"/>
    <w:pPr>
      <w:spacing w:after="100"/>
      <w:ind w:left="220"/>
    </w:pPr>
  </w:style>
  <w:style w:type="paragraph" w:styleId="10">
    <w:name w:val="toc 1"/>
    <w:basedOn w:val="a"/>
    <w:next w:val="a"/>
    <w:autoRedefine/>
    <w:uiPriority w:val="39"/>
    <w:unhideWhenUsed/>
    <w:rsid w:val="00961808"/>
    <w:pPr>
      <w:spacing w:after="100"/>
    </w:pPr>
  </w:style>
  <w:style w:type="character" w:styleId="a9">
    <w:name w:val="Hyperlink"/>
    <w:basedOn w:val="a0"/>
    <w:uiPriority w:val="99"/>
    <w:unhideWhenUsed/>
    <w:rsid w:val="00961808"/>
    <w:rPr>
      <w:color w:val="0563C1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4B6E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4B6E3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CA6E20-6052-43A8-B501-F84426F387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2776</Words>
  <Characters>15824</Characters>
  <Application>Microsoft Office Word</Application>
  <DocSecurity>0</DocSecurity>
  <Lines>131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Косяков Сергей Алексеевич</dc:creator>
  <cp:lastModifiedBy>Касимов ТВ</cp:lastModifiedBy>
  <cp:revision>2</cp:revision>
  <cp:lastPrinted>2015-11-05T15:32:00Z</cp:lastPrinted>
  <dcterms:created xsi:type="dcterms:W3CDTF">2015-11-06T04:56:00Z</dcterms:created>
  <dcterms:modified xsi:type="dcterms:W3CDTF">2015-11-06T04:56:00Z</dcterms:modified>
</cp:coreProperties>
</file>